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57" w:type="dxa"/>
          <w:right w:w="57" w:type="dxa"/>
        </w:tblCellMar>
        <w:tblLook w:val="00A0" w:firstRow="1" w:lastRow="0" w:firstColumn="1" w:lastColumn="0" w:noHBand="0" w:noVBand="0"/>
      </w:tblPr>
      <w:tblGrid>
        <w:gridCol w:w="935"/>
        <w:gridCol w:w="6977"/>
        <w:gridCol w:w="1727"/>
      </w:tblGrid>
      <w:tr w:rsidR="007C30E9" w14:paraId="4085D107" w14:textId="77777777" w:rsidTr="002424E4">
        <w:trPr>
          <w:trHeight w:hRule="exact" w:val="227"/>
        </w:trPr>
        <w:tc>
          <w:tcPr>
            <w:tcW w:w="935" w:type="dxa"/>
            <w:vAlign w:val="center"/>
          </w:tcPr>
          <w:p w14:paraId="5A59A816" w14:textId="77777777" w:rsidR="007C30E9" w:rsidRDefault="007C30E9" w:rsidP="007C30E9">
            <w:pPr>
              <w:pStyle w:val="dajtabulky"/>
              <w:spacing w:line="240" w:lineRule="auto"/>
            </w:pPr>
          </w:p>
        </w:tc>
        <w:tc>
          <w:tcPr>
            <w:tcW w:w="6977" w:type="dxa"/>
            <w:vAlign w:val="center"/>
          </w:tcPr>
          <w:p w14:paraId="3C9241C3" w14:textId="77777777" w:rsidR="007C30E9" w:rsidRDefault="007C30E9" w:rsidP="007C30E9">
            <w:pPr>
              <w:pStyle w:val="dajtabulky"/>
              <w:spacing w:line="240" w:lineRule="auto"/>
              <w:rPr>
                <w:sz w:val="14"/>
                <w:szCs w:val="14"/>
              </w:rPr>
            </w:pPr>
          </w:p>
        </w:tc>
        <w:tc>
          <w:tcPr>
            <w:tcW w:w="1727" w:type="dxa"/>
            <w:vAlign w:val="center"/>
          </w:tcPr>
          <w:p w14:paraId="51F1B3A6" w14:textId="77777777" w:rsidR="007C30E9" w:rsidRDefault="007C30E9" w:rsidP="007C30E9">
            <w:pPr>
              <w:pStyle w:val="dajtabulky"/>
              <w:spacing w:line="240" w:lineRule="auto"/>
            </w:pPr>
          </w:p>
        </w:tc>
      </w:tr>
      <w:tr w:rsidR="007C30E9" w14:paraId="4A8F3B22" w14:textId="77777777" w:rsidTr="002424E4">
        <w:trPr>
          <w:trHeight w:hRule="exact" w:val="227"/>
        </w:trPr>
        <w:tc>
          <w:tcPr>
            <w:tcW w:w="935" w:type="dxa"/>
            <w:vAlign w:val="center"/>
          </w:tcPr>
          <w:p w14:paraId="68B0DEB2" w14:textId="77777777" w:rsidR="007C30E9" w:rsidRDefault="007C30E9" w:rsidP="007C30E9">
            <w:pPr>
              <w:pStyle w:val="Popisektabulky"/>
              <w:spacing w:line="240" w:lineRule="auto"/>
            </w:pPr>
            <w:r>
              <w:t>Revize</w:t>
            </w:r>
          </w:p>
        </w:tc>
        <w:tc>
          <w:tcPr>
            <w:tcW w:w="6977" w:type="dxa"/>
            <w:vAlign w:val="center"/>
          </w:tcPr>
          <w:p w14:paraId="645C34BE" w14:textId="77777777" w:rsidR="007C30E9" w:rsidRDefault="007C30E9" w:rsidP="007C30E9">
            <w:pPr>
              <w:pStyle w:val="Popisektabulky"/>
              <w:spacing w:line="240" w:lineRule="auto"/>
            </w:pPr>
            <w:r>
              <w:t>Popis revize</w:t>
            </w:r>
          </w:p>
        </w:tc>
        <w:tc>
          <w:tcPr>
            <w:tcW w:w="1727" w:type="dxa"/>
            <w:vAlign w:val="center"/>
          </w:tcPr>
          <w:p w14:paraId="4060544F" w14:textId="77777777" w:rsidR="007C30E9" w:rsidRDefault="007C30E9" w:rsidP="007C30E9">
            <w:pPr>
              <w:pStyle w:val="Popisektabulky"/>
              <w:spacing w:line="240" w:lineRule="auto"/>
              <w:rPr>
                <w:sz w:val="20"/>
                <w:szCs w:val="20"/>
              </w:rPr>
            </w:pPr>
            <w:r>
              <w:t>Datum revize</w:t>
            </w:r>
          </w:p>
        </w:tc>
      </w:tr>
    </w:tbl>
    <w:p w14:paraId="73DC586C" w14:textId="77777777" w:rsidR="007C30E9" w:rsidRDefault="007C30E9" w:rsidP="007C30E9">
      <w:pPr>
        <w:spacing w:line="240" w:lineRule="auto"/>
      </w:pPr>
    </w:p>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3"/>
        <w:gridCol w:w="3352"/>
        <w:gridCol w:w="3904"/>
      </w:tblGrid>
      <w:tr w:rsidR="007C30E9" w14:paraId="4F4DF60C" w14:textId="77777777" w:rsidTr="002424E4">
        <w:trPr>
          <w:trHeight w:hRule="exact" w:val="1418"/>
        </w:trPr>
        <w:tc>
          <w:tcPr>
            <w:tcW w:w="5735" w:type="dxa"/>
            <w:gridSpan w:val="2"/>
            <w:tcBorders>
              <w:top w:val="single" w:sz="12" w:space="0" w:color="auto"/>
              <w:left w:val="single" w:sz="12" w:space="0" w:color="auto"/>
              <w:bottom w:val="single" w:sz="2" w:space="0" w:color="auto"/>
              <w:right w:val="nil"/>
            </w:tcBorders>
            <w:vAlign w:val="center"/>
          </w:tcPr>
          <w:p w14:paraId="6739159A" w14:textId="77777777" w:rsidR="007C30E9" w:rsidRDefault="007C30E9" w:rsidP="007C30E9">
            <w:pPr>
              <w:tabs>
                <w:tab w:val="left" w:pos="285"/>
              </w:tabs>
              <w:spacing w:line="240" w:lineRule="auto"/>
            </w:pPr>
            <w:r>
              <w:tab/>
            </w:r>
            <w:r>
              <w:rPr>
                <w:noProof/>
              </w:rPr>
              <w:drawing>
                <wp:inline distT="0" distB="0" distL="0" distR="0" wp14:anchorId="3DC21464" wp14:editId="59951260">
                  <wp:extent cx="1676400" cy="447675"/>
                  <wp:effectExtent l="0" t="0" r="0" b="9525"/>
                  <wp:docPr id="17" name="obrázek 17" descr="AQP_logo_emf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QP_logo_emf_smal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6400" cy="447675"/>
                          </a:xfrm>
                          <a:prstGeom prst="rect">
                            <a:avLst/>
                          </a:prstGeom>
                          <a:noFill/>
                          <a:ln>
                            <a:noFill/>
                          </a:ln>
                        </pic:spPr>
                      </pic:pic>
                    </a:graphicData>
                  </a:graphic>
                </wp:inline>
              </w:drawing>
            </w:r>
          </w:p>
        </w:tc>
        <w:tc>
          <w:tcPr>
            <w:tcW w:w="3904" w:type="dxa"/>
            <w:tcBorders>
              <w:top w:val="single" w:sz="12" w:space="0" w:color="auto"/>
              <w:left w:val="nil"/>
              <w:bottom w:val="single" w:sz="2" w:space="0" w:color="auto"/>
              <w:right w:val="single" w:sz="12" w:space="0" w:color="auto"/>
            </w:tcBorders>
            <w:vAlign w:val="center"/>
          </w:tcPr>
          <w:p w14:paraId="13FEA438" w14:textId="77777777" w:rsidR="007C30E9" w:rsidRDefault="007C30E9" w:rsidP="007C30E9">
            <w:pPr>
              <w:pStyle w:val="Firma"/>
              <w:spacing w:line="240" w:lineRule="auto"/>
              <w:rPr>
                <w:rFonts w:ascii="Arial Black" w:hAnsi="Arial Black" w:cs="Arial Black"/>
                <w:b/>
                <w:bCs/>
                <w:sz w:val="22"/>
                <w:szCs w:val="22"/>
              </w:rPr>
            </w:pPr>
            <w:r>
              <w:rPr>
                <w:rFonts w:ascii="Arial Black" w:hAnsi="Arial Black" w:cs="Arial Black"/>
                <w:b/>
                <w:bCs/>
                <w:sz w:val="22"/>
                <w:szCs w:val="22"/>
              </w:rPr>
              <w:t>AQUA PROCON s.r.o.</w:t>
            </w:r>
          </w:p>
          <w:p w14:paraId="2AEEA1B5" w14:textId="77777777" w:rsidR="007C30E9" w:rsidRDefault="007C30E9" w:rsidP="007C30E9">
            <w:pPr>
              <w:pStyle w:val="Firma"/>
              <w:spacing w:line="240" w:lineRule="auto"/>
            </w:pPr>
            <w:r>
              <w:t xml:space="preserve">Projektová a inženýrská společnost </w:t>
            </w:r>
          </w:p>
          <w:p w14:paraId="1FBE5A6C" w14:textId="77777777" w:rsidR="007C30E9" w:rsidRDefault="007C30E9" w:rsidP="007C30E9">
            <w:pPr>
              <w:pStyle w:val="Firma"/>
              <w:spacing w:line="240" w:lineRule="auto"/>
            </w:pPr>
            <w:r>
              <w:t>Palackého tř. 12, 612 00 Brno</w:t>
            </w:r>
          </w:p>
          <w:p w14:paraId="649FA784" w14:textId="77777777" w:rsidR="007C30E9" w:rsidRDefault="007C30E9" w:rsidP="007C30E9">
            <w:pPr>
              <w:pStyle w:val="Firma"/>
              <w:spacing w:line="240" w:lineRule="auto"/>
              <w:rPr>
                <w:sz w:val="16"/>
                <w:szCs w:val="16"/>
              </w:rPr>
            </w:pPr>
            <w:r>
              <w:rPr>
                <w:sz w:val="16"/>
                <w:szCs w:val="16"/>
              </w:rPr>
              <w:t>tel.: +420 541 426 011</w:t>
            </w:r>
          </w:p>
          <w:p w14:paraId="5BEA5B54" w14:textId="77777777" w:rsidR="007C30E9" w:rsidRDefault="007C30E9" w:rsidP="007C30E9">
            <w:pPr>
              <w:pStyle w:val="Firma"/>
              <w:spacing w:line="240" w:lineRule="auto"/>
              <w:rPr>
                <w:sz w:val="16"/>
                <w:szCs w:val="16"/>
              </w:rPr>
            </w:pPr>
            <w:r>
              <w:rPr>
                <w:sz w:val="16"/>
                <w:szCs w:val="16"/>
              </w:rPr>
              <w:t>E-mail: info@aquaprocon.cz</w:t>
            </w:r>
          </w:p>
          <w:p w14:paraId="48BE8054" w14:textId="77777777" w:rsidR="007C30E9" w:rsidRDefault="007C30E9" w:rsidP="007C30E9">
            <w:pPr>
              <w:pStyle w:val="Firma"/>
              <w:spacing w:line="240" w:lineRule="auto"/>
            </w:pPr>
            <w:r>
              <w:rPr>
                <w:sz w:val="16"/>
                <w:szCs w:val="16"/>
              </w:rPr>
              <w:t>www.aquaprocon.cz</w:t>
            </w:r>
          </w:p>
        </w:tc>
      </w:tr>
      <w:tr w:rsidR="007C30E9" w14:paraId="2022D4DD" w14:textId="77777777" w:rsidTr="002424E4">
        <w:trPr>
          <w:trHeight w:val="312"/>
        </w:trPr>
        <w:tc>
          <w:tcPr>
            <w:tcW w:w="2383" w:type="dxa"/>
            <w:tcBorders>
              <w:top w:val="single" w:sz="2" w:space="0" w:color="auto"/>
              <w:left w:val="single" w:sz="12" w:space="0" w:color="auto"/>
              <w:bottom w:val="single" w:sz="2" w:space="0" w:color="C0C0C0"/>
              <w:right w:val="nil"/>
            </w:tcBorders>
            <w:vAlign w:val="center"/>
          </w:tcPr>
          <w:p w14:paraId="7CE51AE6" w14:textId="77777777" w:rsidR="007C30E9" w:rsidRDefault="007C30E9" w:rsidP="007C30E9">
            <w:pPr>
              <w:pStyle w:val="Popisektabulky"/>
              <w:spacing w:line="240" w:lineRule="auto"/>
            </w:pPr>
            <w:r>
              <w:t>Vedoucí projektu</w:t>
            </w:r>
          </w:p>
        </w:tc>
        <w:bookmarkStart w:id="0" w:name="vedouci_projektu"/>
        <w:tc>
          <w:tcPr>
            <w:tcW w:w="7256" w:type="dxa"/>
            <w:gridSpan w:val="2"/>
            <w:tcBorders>
              <w:top w:val="single" w:sz="2" w:space="0" w:color="auto"/>
              <w:left w:val="nil"/>
              <w:bottom w:val="single" w:sz="2" w:space="0" w:color="C0C0C0"/>
              <w:right w:val="single" w:sz="12" w:space="0" w:color="auto"/>
            </w:tcBorders>
            <w:vAlign w:val="center"/>
          </w:tcPr>
          <w:p w14:paraId="7C45E303" w14:textId="77777777" w:rsidR="007C30E9" w:rsidRDefault="007C30E9" w:rsidP="007C30E9">
            <w:pPr>
              <w:spacing w:line="240" w:lineRule="auto"/>
            </w:pPr>
            <w:r>
              <w:fldChar w:fldCharType="begin">
                <w:ffData>
                  <w:name w:val="vedouci_projektu"/>
                  <w:enabled/>
                  <w:calcOnExit w:val="0"/>
                  <w:textInput>
                    <w:default w:val="Ing. Petr Baránek"/>
                  </w:textInput>
                </w:ffData>
              </w:fldChar>
            </w:r>
            <w:r>
              <w:instrText xml:space="preserve"> FORMTEXT </w:instrText>
            </w:r>
            <w:r>
              <w:fldChar w:fldCharType="separate"/>
            </w:r>
            <w:r>
              <w:t>Ing. Petr Baránek</w:t>
            </w:r>
            <w:r>
              <w:fldChar w:fldCharType="end"/>
            </w:r>
            <w:bookmarkEnd w:id="0"/>
          </w:p>
        </w:tc>
      </w:tr>
      <w:tr w:rsidR="007C30E9" w14:paraId="1CBC36F8" w14:textId="77777777" w:rsidTr="002424E4">
        <w:trPr>
          <w:trHeight w:val="312"/>
        </w:trPr>
        <w:tc>
          <w:tcPr>
            <w:tcW w:w="2383" w:type="dxa"/>
            <w:tcBorders>
              <w:top w:val="single" w:sz="2" w:space="0" w:color="C0C0C0"/>
              <w:left w:val="single" w:sz="12" w:space="0" w:color="auto"/>
              <w:bottom w:val="single" w:sz="2" w:space="0" w:color="C0C0C0"/>
              <w:right w:val="nil"/>
            </w:tcBorders>
            <w:vAlign w:val="center"/>
          </w:tcPr>
          <w:p w14:paraId="734CF5FA" w14:textId="77777777" w:rsidR="007C30E9" w:rsidRDefault="007C30E9" w:rsidP="007C30E9">
            <w:pPr>
              <w:pStyle w:val="Popisektabulky"/>
              <w:spacing w:line="240" w:lineRule="auto"/>
            </w:pPr>
            <w:r>
              <w:t>Vedoucí dílčího projektu</w:t>
            </w:r>
          </w:p>
        </w:tc>
        <w:bookmarkStart w:id="1" w:name="zastupce_projektu"/>
        <w:tc>
          <w:tcPr>
            <w:tcW w:w="7256" w:type="dxa"/>
            <w:gridSpan w:val="2"/>
            <w:tcBorders>
              <w:top w:val="single" w:sz="2" w:space="0" w:color="C0C0C0"/>
              <w:left w:val="nil"/>
              <w:bottom w:val="single" w:sz="2" w:space="0" w:color="C0C0C0"/>
              <w:right w:val="single" w:sz="12" w:space="0" w:color="auto"/>
            </w:tcBorders>
            <w:vAlign w:val="center"/>
          </w:tcPr>
          <w:p w14:paraId="6A8573E6" w14:textId="77777777" w:rsidR="007C30E9" w:rsidRDefault="007C30E9" w:rsidP="007C30E9">
            <w:pPr>
              <w:spacing w:line="240" w:lineRule="auto"/>
            </w:pPr>
            <w:r>
              <w:fldChar w:fldCharType="begin">
                <w:ffData>
                  <w:name w:val="zastupce_projektu"/>
                  <w:enabled/>
                  <w:calcOnExit w:val="0"/>
                  <w:textInput/>
                </w:ffData>
              </w:fldChar>
            </w:r>
            <w:r>
              <w:instrText xml:space="preserve"> FORMTEXT </w:instrText>
            </w:r>
            <w:r w:rsidR="006507E3">
              <w:fldChar w:fldCharType="separate"/>
            </w:r>
            <w:r>
              <w:fldChar w:fldCharType="end"/>
            </w:r>
            <w:bookmarkEnd w:id="1"/>
          </w:p>
        </w:tc>
      </w:tr>
      <w:tr w:rsidR="007C30E9" w14:paraId="71C77060" w14:textId="77777777" w:rsidTr="002424E4">
        <w:trPr>
          <w:trHeight w:val="312"/>
        </w:trPr>
        <w:tc>
          <w:tcPr>
            <w:tcW w:w="2383" w:type="dxa"/>
            <w:tcBorders>
              <w:top w:val="single" w:sz="2" w:space="0" w:color="C0C0C0"/>
              <w:left w:val="single" w:sz="12" w:space="0" w:color="auto"/>
              <w:bottom w:val="single" w:sz="2" w:space="0" w:color="C0C0C0"/>
              <w:right w:val="nil"/>
            </w:tcBorders>
            <w:vAlign w:val="center"/>
          </w:tcPr>
          <w:p w14:paraId="7B957798" w14:textId="77777777" w:rsidR="007C30E9" w:rsidRDefault="007C30E9" w:rsidP="007C30E9">
            <w:pPr>
              <w:pStyle w:val="Popisektabulky"/>
              <w:spacing w:line="240" w:lineRule="auto"/>
            </w:pPr>
            <w:r>
              <w:t>Zodpovědný projektant</w:t>
            </w:r>
          </w:p>
        </w:tc>
        <w:bookmarkStart w:id="2" w:name="zodp_projektant"/>
        <w:tc>
          <w:tcPr>
            <w:tcW w:w="7256" w:type="dxa"/>
            <w:gridSpan w:val="2"/>
            <w:tcBorders>
              <w:top w:val="single" w:sz="2" w:space="0" w:color="C0C0C0"/>
              <w:left w:val="nil"/>
              <w:bottom w:val="single" w:sz="2" w:space="0" w:color="C0C0C0"/>
              <w:right w:val="single" w:sz="12" w:space="0" w:color="auto"/>
            </w:tcBorders>
            <w:vAlign w:val="center"/>
          </w:tcPr>
          <w:p w14:paraId="301A0891" w14:textId="77777777" w:rsidR="007C30E9" w:rsidRDefault="007C30E9" w:rsidP="007C30E9">
            <w:pPr>
              <w:spacing w:line="240" w:lineRule="auto"/>
            </w:pPr>
            <w:r>
              <w:fldChar w:fldCharType="begin">
                <w:ffData>
                  <w:name w:val="zodp_projektant"/>
                  <w:enabled/>
                  <w:calcOnExit w:val="0"/>
                  <w:textInput>
                    <w:default w:val="Bc. Štěpán Vlach"/>
                  </w:textInput>
                </w:ffData>
              </w:fldChar>
            </w:r>
            <w:r>
              <w:instrText xml:space="preserve"> FORMTEXT </w:instrText>
            </w:r>
            <w:r>
              <w:fldChar w:fldCharType="separate"/>
            </w:r>
            <w:r>
              <w:t>Bc. Štěpán Vlach</w:t>
            </w:r>
            <w:r>
              <w:fldChar w:fldCharType="end"/>
            </w:r>
            <w:bookmarkEnd w:id="2"/>
          </w:p>
        </w:tc>
      </w:tr>
      <w:tr w:rsidR="007C30E9" w14:paraId="22DB0955" w14:textId="77777777" w:rsidTr="002424E4">
        <w:trPr>
          <w:trHeight w:val="312"/>
        </w:trPr>
        <w:tc>
          <w:tcPr>
            <w:tcW w:w="2383" w:type="dxa"/>
            <w:tcBorders>
              <w:top w:val="single" w:sz="2" w:space="0" w:color="C0C0C0"/>
              <w:left w:val="single" w:sz="12" w:space="0" w:color="auto"/>
              <w:bottom w:val="single" w:sz="2" w:space="0" w:color="C0C0C0"/>
              <w:right w:val="nil"/>
            </w:tcBorders>
            <w:vAlign w:val="center"/>
          </w:tcPr>
          <w:p w14:paraId="0B2EFA94" w14:textId="77777777" w:rsidR="007C30E9" w:rsidRDefault="007C30E9" w:rsidP="007C30E9">
            <w:pPr>
              <w:pStyle w:val="Popisektabulky"/>
              <w:spacing w:line="240" w:lineRule="auto"/>
            </w:pPr>
            <w:r>
              <w:t>Vypracoval</w:t>
            </w:r>
          </w:p>
        </w:tc>
        <w:bookmarkStart w:id="3" w:name="vypracoval"/>
        <w:tc>
          <w:tcPr>
            <w:tcW w:w="7256" w:type="dxa"/>
            <w:gridSpan w:val="2"/>
            <w:tcBorders>
              <w:top w:val="single" w:sz="2" w:space="0" w:color="C0C0C0"/>
              <w:left w:val="nil"/>
              <w:bottom w:val="single" w:sz="2" w:space="0" w:color="C0C0C0"/>
              <w:right w:val="single" w:sz="12" w:space="0" w:color="auto"/>
            </w:tcBorders>
            <w:vAlign w:val="center"/>
          </w:tcPr>
          <w:p w14:paraId="244FC23B" w14:textId="77777777" w:rsidR="007C30E9" w:rsidRDefault="007C30E9" w:rsidP="007C30E9">
            <w:pPr>
              <w:spacing w:line="240" w:lineRule="auto"/>
            </w:pPr>
            <w:r>
              <w:fldChar w:fldCharType="begin">
                <w:ffData>
                  <w:name w:val="vypracoval"/>
                  <w:enabled/>
                  <w:calcOnExit w:val="0"/>
                  <w:textInput>
                    <w:default w:val="Bc. Štěpán Vlach"/>
                  </w:textInput>
                </w:ffData>
              </w:fldChar>
            </w:r>
            <w:r>
              <w:instrText xml:space="preserve"> FORMTEXT </w:instrText>
            </w:r>
            <w:r>
              <w:fldChar w:fldCharType="separate"/>
            </w:r>
            <w:r>
              <w:t>Bc. Štěpán Vlach</w:t>
            </w:r>
            <w:r>
              <w:fldChar w:fldCharType="end"/>
            </w:r>
            <w:bookmarkEnd w:id="3"/>
          </w:p>
        </w:tc>
      </w:tr>
      <w:tr w:rsidR="007C30E9" w14:paraId="5AEBD81D" w14:textId="77777777" w:rsidTr="002424E4">
        <w:trPr>
          <w:trHeight w:val="312"/>
        </w:trPr>
        <w:tc>
          <w:tcPr>
            <w:tcW w:w="2383" w:type="dxa"/>
            <w:tcBorders>
              <w:top w:val="single" w:sz="2" w:space="0" w:color="C0C0C0"/>
              <w:left w:val="single" w:sz="12" w:space="0" w:color="auto"/>
              <w:bottom w:val="single" w:sz="12" w:space="0" w:color="auto"/>
              <w:right w:val="nil"/>
            </w:tcBorders>
            <w:vAlign w:val="center"/>
          </w:tcPr>
          <w:p w14:paraId="4801C8B0" w14:textId="77777777" w:rsidR="007C30E9" w:rsidRDefault="007C30E9" w:rsidP="007C30E9">
            <w:pPr>
              <w:pStyle w:val="Popisektabulky"/>
              <w:spacing w:line="240" w:lineRule="auto"/>
            </w:pPr>
            <w:r>
              <w:t>Kontroloval</w:t>
            </w:r>
          </w:p>
        </w:tc>
        <w:bookmarkStart w:id="4" w:name="kontroloval"/>
        <w:tc>
          <w:tcPr>
            <w:tcW w:w="7256" w:type="dxa"/>
            <w:gridSpan w:val="2"/>
            <w:tcBorders>
              <w:top w:val="single" w:sz="2" w:space="0" w:color="C0C0C0"/>
              <w:left w:val="nil"/>
              <w:bottom w:val="single" w:sz="12" w:space="0" w:color="auto"/>
              <w:right w:val="single" w:sz="12" w:space="0" w:color="auto"/>
            </w:tcBorders>
            <w:vAlign w:val="center"/>
          </w:tcPr>
          <w:p w14:paraId="077CD45E" w14:textId="77777777" w:rsidR="007C30E9" w:rsidRDefault="007C30E9" w:rsidP="007C30E9">
            <w:pPr>
              <w:spacing w:line="240" w:lineRule="auto"/>
            </w:pPr>
            <w:r>
              <w:fldChar w:fldCharType="begin">
                <w:ffData>
                  <w:name w:val="kontroloval"/>
                  <w:enabled/>
                  <w:calcOnExit w:val="0"/>
                  <w:textInput>
                    <w:default w:val="Ing. Vlastislav Kolečkář"/>
                  </w:textInput>
                </w:ffData>
              </w:fldChar>
            </w:r>
            <w:r>
              <w:instrText xml:space="preserve"> FORMTEXT </w:instrText>
            </w:r>
            <w:r>
              <w:fldChar w:fldCharType="separate"/>
            </w:r>
            <w:r>
              <w:t>Ing. Vlastislav Kolečkář</w:t>
            </w:r>
            <w:r>
              <w:fldChar w:fldCharType="end"/>
            </w:r>
            <w:bookmarkEnd w:id="4"/>
          </w:p>
        </w:tc>
      </w:tr>
    </w:tbl>
    <w:p w14:paraId="24CEB2B1" w14:textId="77777777" w:rsidR="007C30E9" w:rsidRDefault="007C30E9" w:rsidP="007C30E9">
      <w:pPr>
        <w:spacing w:line="240" w:lineRule="auto"/>
      </w:pPr>
    </w:p>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9"/>
        <w:gridCol w:w="8640"/>
      </w:tblGrid>
      <w:tr w:rsidR="007C30E9" w14:paraId="5E8855FB" w14:textId="77777777" w:rsidTr="002424E4">
        <w:trPr>
          <w:trHeight w:val="284"/>
        </w:trPr>
        <w:tc>
          <w:tcPr>
            <w:tcW w:w="999" w:type="dxa"/>
            <w:tcBorders>
              <w:top w:val="single" w:sz="12" w:space="0" w:color="auto"/>
            </w:tcBorders>
            <w:vAlign w:val="center"/>
          </w:tcPr>
          <w:p w14:paraId="28AA0832" w14:textId="77777777" w:rsidR="007C30E9" w:rsidRDefault="007C30E9" w:rsidP="007C30E9">
            <w:pPr>
              <w:pStyle w:val="Popisektabulky"/>
              <w:spacing w:line="240" w:lineRule="auto"/>
            </w:pPr>
            <w:r>
              <w:t>Investor</w:t>
            </w:r>
          </w:p>
        </w:tc>
        <w:bookmarkStart w:id="5" w:name="Investor"/>
        <w:tc>
          <w:tcPr>
            <w:tcW w:w="8640" w:type="dxa"/>
            <w:tcBorders>
              <w:top w:val="single" w:sz="12" w:space="0" w:color="auto"/>
            </w:tcBorders>
            <w:vAlign w:val="center"/>
          </w:tcPr>
          <w:p w14:paraId="1E091C1D" w14:textId="77777777" w:rsidR="007C30E9" w:rsidRDefault="007C30E9" w:rsidP="007C30E9">
            <w:pPr>
              <w:pStyle w:val="dajtabulky"/>
              <w:spacing w:line="240" w:lineRule="auto"/>
            </w:pPr>
            <w:r>
              <w:fldChar w:fldCharType="begin">
                <w:ffData>
                  <w:name w:val="Investor"/>
                  <w:enabled/>
                  <w:calcOnExit w:val="0"/>
                  <w:textInput>
                    <w:default w:val="Statutární město Brno, Dominikánské nám. 196/1, 602 00 Brno"/>
                  </w:textInput>
                </w:ffData>
              </w:fldChar>
            </w:r>
            <w:r>
              <w:instrText xml:space="preserve"> FORMTEXT </w:instrText>
            </w:r>
            <w:r>
              <w:fldChar w:fldCharType="separate"/>
            </w:r>
            <w:r>
              <w:t>Statutární město Brno, Dominikánské nám. 196/1, 602 00 Brno</w:t>
            </w:r>
            <w:r>
              <w:fldChar w:fldCharType="end"/>
            </w:r>
            <w:bookmarkEnd w:id="5"/>
          </w:p>
        </w:tc>
      </w:tr>
      <w:tr w:rsidR="007C30E9" w14:paraId="104EFCC5" w14:textId="77777777" w:rsidTr="002424E4">
        <w:trPr>
          <w:trHeight w:val="284"/>
        </w:trPr>
        <w:tc>
          <w:tcPr>
            <w:tcW w:w="999" w:type="dxa"/>
            <w:tcBorders>
              <w:bottom w:val="single" w:sz="12" w:space="0" w:color="auto"/>
            </w:tcBorders>
            <w:vAlign w:val="center"/>
          </w:tcPr>
          <w:p w14:paraId="2F576908" w14:textId="77777777" w:rsidR="007C30E9" w:rsidRDefault="007C30E9" w:rsidP="007C30E9">
            <w:pPr>
              <w:pStyle w:val="Popisektabulky"/>
              <w:spacing w:line="240" w:lineRule="auto"/>
            </w:pPr>
            <w:r>
              <w:t>Objednatel</w:t>
            </w:r>
          </w:p>
        </w:tc>
        <w:bookmarkStart w:id="6" w:name="Objednatel"/>
        <w:tc>
          <w:tcPr>
            <w:tcW w:w="8640" w:type="dxa"/>
            <w:tcBorders>
              <w:bottom w:val="single" w:sz="12" w:space="0" w:color="auto"/>
            </w:tcBorders>
            <w:vAlign w:val="center"/>
          </w:tcPr>
          <w:p w14:paraId="4765327F" w14:textId="77777777" w:rsidR="007C30E9" w:rsidRDefault="007C30E9" w:rsidP="007C30E9">
            <w:pPr>
              <w:pStyle w:val="dajtabulky"/>
              <w:spacing w:line="240" w:lineRule="auto"/>
            </w:pPr>
            <w:r>
              <w:fldChar w:fldCharType="begin">
                <w:ffData>
                  <w:name w:val="Objednatel"/>
                  <w:enabled/>
                  <w:calcOnExit w:val="0"/>
                  <w:textInput>
                    <w:default w:val="Statutární město Brno, Dominikánské nám. 196/1, 602 00 Brno"/>
                  </w:textInput>
                </w:ffData>
              </w:fldChar>
            </w:r>
            <w:r>
              <w:instrText xml:space="preserve"> FORMTEXT </w:instrText>
            </w:r>
            <w:r>
              <w:fldChar w:fldCharType="separate"/>
            </w:r>
            <w:r>
              <w:t>Statutární město Brno, Dominikánské nám. 196/1, 602 00 Brno</w:t>
            </w:r>
            <w:r>
              <w:fldChar w:fldCharType="end"/>
            </w:r>
            <w:bookmarkEnd w:id="6"/>
          </w:p>
        </w:tc>
      </w:tr>
    </w:tbl>
    <w:p w14:paraId="4143C1BF" w14:textId="77777777" w:rsidR="007C30E9" w:rsidRDefault="007C30E9" w:rsidP="007C30E9">
      <w:pPr>
        <w:spacing w:line="240" w:lineRule="auto"/>
      </w:pPr>
    </w:p>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5"/>
        <w:gridCol w:w="709"/>
        <w:gridCol w:w="676"/>
        <w:gridCol w:w="1050"/>
        <w:gridCol w:w="651"/>
        <w:gridCol w:w="1035"/>
        <w:gridCol w:w="666"/>
        <w:gridCol w:w="1295"/>
        <w:gridCol w:w="1257"/>
        <w:gridCol w:w="1305"/>
      </w:tblGrid>
      <w:tr w:rsidR="007C30E9" w14:paraId="294E5C27" w14:textId="77777777" w:rsidTr="002424E4">
        <w:trPr>
          <w:trHeight w:val="284"/>
        </w:trPr>
        <w:tc>
          <w:tcPr>
            <w:tcW w:w="995" w:type="dxa"/>
            <w:tcBorders>
              <w:top w:val="single" w:sz="12" w:space="0" w:color="auto"/>
              <w:bottom w:val="single" w:sz="12" w:space="0" w:color="auto"/>
            </w:tcBorders>
            <w:vAlign w:val="center"/>
          </w:tcPr>
          <w:p w14:paraId="5F6C8E5B" w14:textId="77777777" w:rsidR="007C30E9" w:rsidRDefault="007C30E9" w:rsidP="007C30E9">
            <w:pPr>
              <w:pStyle w:val="Popisektabulky"/>
              <w:spacing w:line="240" w:lineRule="auto"/>
            </w:pPr>
            <w:r>
              <w:t>Formát</w:t>
            </w:r>
          </w:p>
        </w:tc>
        <w:tc>
          <w:tcPr>
            <w:tcW w:w="709" w:type="dxa"/>
            <w:tcBorders>
              <w:top w:val="single" w:sz="12" w:space="0" w:color="auto"/>
              <w:bottom w:val="single" w:sz="12" w:space="0" w:color="auto"/>
              <w:right w:val="single" w:sz="2" w:space="0" w:color="auto"/>
            </w:tcBorders>
            <w:vAlign w:val="center"/>
          </w:tcPr>
          <w:p w14:paraId="629E2E52" w14:textId="50C1B359" w:rsidR="007C30E9" w:rsidRDefault="007C30E9" w:rsidP="007C30E9">
            <w:pPr>
              <w:pStyle w:val="dajtabulky"/>
              <w:spacing w:line="240" w:lineRule="auto"/>
            </w:pPr>
            <w:r>
              <w:t>A4</w:t>
            </w:r>
          </w:p>
        </w:tc>
        <w:tc>
          <w:tcPr>
            <w:tcW w:w="676" w:type="dxa"/>
            <w:tcBorders>
              <w:top w:val="single" w:sz="12" w:space="0" w:color="auto"/>
              <w:left w:val="single" w:sz="2" w:space="0" w:color="auto"/>
              <w:bottom w:val="single" w:sz="12" w:space="0" w:color="auto"/>
            </w:tcBorders>
            <w:vAlign w:val="center"/>
          </w:tcPr>
          <w:p w14:paraId="6963E3E4" w14:textId="77777777" w:rsidR="007C30E9" w:rsidRDefault="007C30E9" w:rsidP="007C30E9">
            <w:pPr>
              <w:pStyle w:val="Popisektabulky"/>
              <w:spacing w:line="240" w:lineRule="auto"/>
            </w:pPr>
            <w:r>
              <w:t>Měřítko</w:t>
            </w:r>
          </w:p>
        </w:tc>
        <w:bookmarkStart w:id="7" w:name="Meritko"/>
        <w:tc>
          <w:tcPr>
            <w:tcW w:w="1050" w:type="dxa"/>
            <w:tcBorders>
              <w:top w:val="single" w:sz="12" w:space="0" w:color="auto"/>
              <w:bottom w:val="single" w:sz="12" w:space="0" w:color="auto"/>
              <w:right w:val="single" w:sz="2" w:space="0" w:color="auto"/>
            </w:tcBorders>
            <w:vAlign w:val="center"/>
          </w:tcPr>
          <w:p w14:paraId="382A9571" w14:textId="77777777" w:rsidR="007C30E9" w:rsidRDefault="007C30E9" w:rsidP="007C30E9">
            <w:pPr>
              <w:pStyle w:val="dajtabulky"/>
              <w:spacing w:line="240" w:lineRule="auto"/>
            </w:pPr>
            <w:r>
              <w:fldChar w:fldCharType="begin">
                <w:ffData>
                  <w:name w:val="Meritko"/>
                  <w:enabled/>
                  <w:calcOnExit w:val="0"/>
                  <w:textInput>
                    <w:default w:val="-"/>
                  </w:textInput>
                </w:ffData>
              </w:fldChar>
            </w:r>
            <w:r>
              <w:instrText xml:space="preserve"> FORMTEXT </w:instrText>
            </w:r>
            <w:r>
              <w:fldChar w:fldCharType="separate"/>
            </w:r>
            <w:r>
              <w:t>-</w:t>
            </w:r>
            <w:r>
              <w:fldChar w:fldCharType="end"/>
            </w:r>
            <w:bookmarkEnd w:id="7"/>
          </w:p>
        </w:tc>
        <w:tc>
          <w:tcPr>
            <w:tcW w:w="651" w:type="dxa"/>
            <w:tcBorders>
              <w:top w:val="single" w:sz="12" w:space="0" w:color="auto"/>
              <w:left w:val="single" w:sz="2" w:space="0" w:color="auto"/>
              <w:bottom w:val="single" w:sz="12" w:space="0" w:color="auto"/>
            </w:tcBorders>
            <w:vAlign w:val="center"/>
          </w:tcPr>
          <w:p w14:paraId="54B3F44E" w14:textId="77777777" w:rsidR="007C30E9" w:rsidRDefault="007C30E9" w:rsidP="007C30E9">
            <w:pPr>
              <w:pStyle w:val="Popisektabulky"/>
              <w:spacing w:line="240" w:lineRule="auto"/>
            </w:pPr>
            <w:r>
              <w:t>Stupeň</w:t>
            </w:r>
          </w:p>
        </w:tc>
        <w:bookmarkStart w:id="8" w:name="Stupen"/>
        <w:tc>
          <w:tcPr>
            <w:tcW w:w="1035" w:type="dxa"/>
            <w:tcBorders>
              <w:top w:val="single" w:sz="12" w:space="0" w:color="auto"/>
              <w:bottom w:val="single" w:sz="12" w:space="0" w:color="auto"/>
              <w:right w:val="single" w:sz="2" w:space="0" w:color="auto"/>
            </w:tcBorders>
            <w:vAlign w:val="center"/>
          </w:tcPr>
          <w:p w14:paraId="16B02F87" w14:textId="77777777" w:rsidR="007C30E9" w:rsidRDefault="007C30E9" w:rsidP="007C30E9">
            <w:pPr>
              <w:pStyle w:val="dajtabulky"/>
              <w:spacing w:line="240" w:lineRule="auto"/>
            </w:pPr>
            <w:r>
              <w:fldChar w:fldCharType="begin">
                <w:ffData>
                  <w:name w:val="Stupen"/>
                  <w:enabled/>
                  <w:calcOnExit w:val="0"/>
                  <w:textInput>
                    <w:default w:val="DSP,DPS"/>
                  </w:textInput>
                </w:ffData>
              </w:fldChar>
            </w:r>
            <w:r>
              <w:instrText xml:space="preserve"> FORMTEXT </w:instrText>
            </w:r>
            <w:r>
              <w:fldChar w:fldCharType="separate"/>
            </w:r>
            <w:r>
              <w:t>DSP,DPS</w:t>
            </w:r>
            <w:r>
              <w:fldChar w:fldCharType="end"/>
            </w:r>
            <w:bookmarkEnd w:id="8"/>
          </w:p>
        </w:tc>
        <w:tc>
          <w:tcPr>
            <w:tcW w:w="666" w:type="dxa"/>
            <w:tcBorders>
              <w:top w:val="single" w:sz="12" w:space="0" w:color="auto"/>
              <w:left w:val="single" w:sz="2" w:space="0" w:color="auto"/>
              <w:bottom w:val="single" w:sz="12" w:space="0" w:color="auto"/>
            </w:tcBorders>
            <w:vAlign w:val="center"/>
          </w:tcPr>
          <w:p w14:paraId="001C03B2" w14:textId="77777777" w:rsidR="007C30E9" w:rsidRDefault="007C30E9" w:rsidP="007C30E9">
            <w:pPr>
              <w:pStyle w:val="Popisektabulky"/>
              <w:spacing w:line="240" w:lineRule="auto"/>
            </w:pPr>
            <w:r>
              <w:t>Datum</w:t>
            </w:r>
          </w:p>
        </w:tc>
        <w:bookmarkStart w:id="9" w:name="Datum_hl"/>
        <w:tc>
          <w:tcPr>
            <w:tcW w:w="1295" w:type="dxa"/>
            <w:tcBorders>
              <w:top w:val="single" w:sz="12" w:space="0" w:color="auto"/>
              <w:bottom w:val="single" w:sz="12" w:space="0" w:color="auto"/>
              <w:right w:val="single" w:sz="2" w:space="0" w:color="auto"/>
            </w:tcBorders>
            <w:vAlign w:val="center"/>
          </w:tcPr>
          <w:p w14:paraId="4DC6793D" w14:textId="77777777" w:rsidR="007C30E9" w:rsidRDefault="007C30E9" w:rsidP="007C30E9">
            <w:pPr>
              <w:pStyle w:val="dajtabulky"/>
              <w:spacing w:line="240" w:lineRule="auto"/>
            </w:pPr>
            <w:r>
              <w:fldChar w:fldCharType="begin">
                <w:ffData>
                  <w:name w:val="Datum_hl"/>
                  <w:enabled/>
                  <w:calcOnExit w:val="0"/>
                  <w:textInput>
                    <w:default w:val="11/2020"/>
                  </w:textInput>
                </w:ffData>
              </w:fldChar>
            </w:r>
            <w:r>
              <w:instrText xml:space="preserve"> FORMTEXT </w:instrText>
            </w:r>
            <w:r>
              <w:fldChar w:fldCharType="separate"/>
            </w:r>
            <w:r>
              <w:t>11/2020</w:t>
            </w:r>
            <w:r>
              <w:fldChar w:fldCharType="end"/>
            </w:r>
            <w:bookmarkEnd w:id="9"/>
          </w:p>
        </w:tc>
        <w:tc>
          <w:tcPr>
            <w:tcW w:w="1257" w:type="dxa"/>
            <w:tcBorders>
              <w:top w:val="single" w:sz="12" w:space="0" w:color="auto"/>
              <w:left w:val="single" w:sz="2" w:space="0" w:color="auto"/>
              <w:bottom w:val="single" w:sz="12" w:space="0" w:color="auto"/>
            </w:tcBorders>
            <w:shd w:val="clear" w:color="auto" w:fill="E0E0E0"/>
            <w:vAlign w:val="center"/>
          </w:tcPr>
          <w:p w14:paraId="5225EE21" w14:textId="77777777" w:rsidR="007C30E9" w:rsidRDefault="007C30E9" w:rsidP="007C30E9">
            <w:pPr>
              <w:pStyle w:val="Popisektabulky"/>
              <w:spacing w:line="240" w:lineRule="auto"/>
            </w:pPr>
            <w:r>
              <w:t>Zakázkové číslo</w:t>
            </w:r>
          </w:p>
        </w:tc>
        <w:bookmarkStart w:id="10" w:name="Zak_cislo"/>
        <w:tc>
          <w:tcPr>
            <w:tcW w:w="1305" w:type="dxa"/>
            <w:tcBorders>
              <w:top w:val="single" w:sz="12" w:space="0" w:color="auto"/>
              <w:bottom w:val="single" w:sz="12" w:space="0" w:color="auto"/>
            </w:tcBorders>
            <w:shd w:val="clear" w:color="auto" w:fill="E0E0E0"/>
            <w:vAlign w:val="center"/>
          </w:tcPr>
          <w:p w14:paraId="142D4F78" w14:textId="77777777" w:rsidR="007C30E9" w:rsidRDefault="007C30E9" w:rsidP="007C30E9">
            <w:pPr>
              <w:pStyle w:val="dajtabulky"/>
              <w:spacing w:line="240" w:lineRule="auto"/>
              <w:rPr>
                <w:b/>
                <w:bCs/>
              </w:rPr>
            </w:pPr>
            <w:r>
              <w:rPr>
                <w:b/>
                <w:bCs/>
              </w:rPr>
              <w:fldChar w:fldCharType="begin">
                <w:ffData>
                  <w:name w:val="Zak_cislo"/>
                  <w:enabled/>
                  <w:calcOnExit w:val="0"/>
                  <w:textInput>
                    <w:default w:val="1532719-16"/>
                  </w:textInput>
                </w:ffData>
              </w:fldChar>
            </w:r>
            <w:r>
              <w:rPr>
                <w:b/>
                <w:bCs/>
              </w:rPr>
              <w:instrText xml:space="preserve"> FORMTEXT </w:instrText>
            </w:r>
            <w:r>
              <w:rPr>
                <w:b/>
                <w:bCs/>
              </w:rPr>
            </w:r>
            <w:r>
              <w:rPr>
                <w:b/>
                <w:bCs/>
              </w:rPr>
              <w:fldChar w:fldCharType="separate"/>
            </w:r>
            <w:r>
              <w:rPr>
                <w:b/>
                <w:bCs/>
              </w:rPr>
              <w:t>1532719-16</w:t>
            </w:r>
            <w:r>
              <w:rPr>
                <w:b/>
                <w:bCs/>
              </w:rPr>
              <w:fldChar w:fldCharType="end"/>
            </w:r>
            <w:bookmarkEnd w:id="10"/>
          </w:p>
        </w:tc>
      </w:tr>
    </w:tbl>
    <w:p w14:paraId="3E32086E" w14:textId="77777777" w:rsidR="007C30E9" w:rsidRDefault="007C30E9" w:rsidP="007C30E9">
      <w:pPr>
        <w:spacing w:line="240" w:lineRule="auto"/>
      </w:pPr>
    </w:p>
    <w:tbl>
      <w:tblPr>
        <w:tblW w:w="9639" w:type="dxa"/>
        <w:tblInd w:w="-55" w:type="dxa"/>
        <w:tblBorders>
          <w:top w:val="single" w:sz="12" w:space="0" w:color="auto"/>
          <w:left w:val="single" w:sz="12" w:space="0" w:color="auto"/>
          <w:bottom w:val="single" w:sz="12" w:space="0" w:color="auto"/>
          <w:right w:val="single" w:sz="12" w:space="0" w:color="auto"/>
        </w:tblBorders>
        <w:tblLayout w:type="fixed"/>
        <w:tblCellMar>
          <w:top w:w="57" w:type="dxa"/>
          <w:left w:w="57" w:type="dxa"/>
          <w:bottom w:w="57" w:type="dxa"/>
          <w:right w:w="57" w:type="dxa"/>
        </w:tblCellMar>
        <w:tblLook w:val="00A0" w:firstRow="1" w:lastRow="0" w:firstColumn="1" w:lastColumn="0" w:noHBand="0" w:noVBand="0"/>
      </w:tblPr>
      <w:tblGrid>
        <w:gridCol w:w="977"/>
        <w:gridCol w:w="6100"/>
        <w:gridCol w:w="900"/>
        <w:gridCol w:w="1073"/>
        <w:gridCol w:w="589"/>
      </w:tblGrid>
      <w:tr w:rsidR="007C30E9" w14:paraId="5265273E" w14:textId="77777777" w:rsidTr="002424E4">
        <w:trPr>
          <w:trHeight w:val="340"/>
        </w:trPr>
        <w:tc>
          <w:tcPr>
            <w:tcW w:w="7077" w:type="dxa"/>
            <w:gridSpan w:val="2"/>
            <w:tcBorders>
              <w:top w:val="single" w:sz="12" w:space="0" w:color="auto"/>
              <w:bottom w:val="nil"/>
              <w:right w:val="nil"/>
            </w:tcBorders>
            <w:vAlign w:val="center"/>
          </w:tcPr>
          <w:p w14:paraId="207A29A6" w14:textId="77777777" w:rsidR="007C30E9" w:rsidRDefault="007C30E9" w:rsidP="007C30E9">
            <w:pPr>
              <w:pStyle w:val="Popisektabulky"/>
              <w:spacing w:line="240" w:lineRule="auto"/>
            </w:pPr>
            <w:r>
              <w:t>Projekt</w:t>
            </w:r>
          </w:p>
        </w:tc>
        <w:tc>
          <w:tcPr>
            <w:tcW w:w="2562" w:type="dxa"/>
            <w:gridSpan w:val="3"/>
            <w:tcBorders>
              <w:top w:val="single" w:sz="12" w:space="0" w:color="auto"/>
              <w:left w:val="nil"/>
              <w:bottom w:val="nil"/>
            </w:tcBorders>
            <w:vAlign w:val="center"/>
          </w:tcPr>
          <w:p w14:paraId="099C75F0" w14:textId="77777777" w:rsidR="007C30E9" w:rsidRDefault="007C30E9" w:rsidP="007C30E9">
            <w:pPr>
              <w:pStyle w:val="Popisektabulky"/>
              <w:spacing w:line="240" w:lineRule="auto"/>
            </w:pPr>
          </w:p>
        </w:tc>
      </w:tr>
      <w:tr w:rsidR="007C30E9" w14:paraId="1910CDE9" w14:textId="77777777" w:rsidTr="002424E4">
        <w:trPr>
          <w:trHeight w:val="340"/>
        </w:trPr>
        <w:tc>
          <w:tcPr>
            <w:tcW w:w="977" w:type="dxa"/>
            <w:tcBorders>
              <w:top w:val="nil"/>
              <w:bottom w:val="nil"/>
              <w:right w:val="nil"/>
            </w:tcBorders>
            <w:vAlign w:val="center"/>
          </w:tcPr>
          <w:p w14:paraId="0D9F5210" w14:textId="77777777" w:rsidR="007C30E9" w:rsidRDefault="007C30E9" w:rsidP="007C30E9">
            <w:pPr>
              <w:pStyle w:val="Popisektabulky"/>
              <w:spacing w:line="240" w:lineRule="auto"/>
            </w:pPr>
          </w:p>
        </w:tc>
        <w:tc>
          <w:tcPr>
            <w:tcW w:w="7000" w:type="dxa"/>
            <w:gridSpan w:val="2"/>
            <w:vMerge w:val="restart"/>
            <w:tcBorders>
              <w:top w:val="nil"/>
              <w:left w:val="nil"/>
              <w:bottom w:val="nil"/>
              <w:right w:val="nil"/>
            </w:tcBorders>
          </w:tcPr>
          <w:p w14:paraId="341BEFCD" w14:textId="3B6F1083" w:rsidR="007C30E9" w:rsidRDefault="007C30E9" w:rsidP="007C30E9">
            <w:pPr>
              <w:pStyle w:val="Projekt"/>
              <w:spacing w:line="240" w:lineRule="auto"/>
            </w:pPr>
            <w:r>
              <w:t>BRNO, STRÁNSKÉHO – REKONSTRUKCE KANALIZACE A VODOVODU</w:t>
            </w:r>
          </w:p>
          <w:p w14:paraId="2ECB69F5" w14:textId="77777777" w:rsidR="007C30E9" w:rsidRDefault="007C30E9" w:rsidP="007C30E9">
            <w:pPr>
              <w:pStyle w:val="dajtabulky"/>
              <w:spacing w:line="240" w:lineRule="auto"/>
              <w:rPr>
                <w:sz w:val="28"/>
                <w:szCs w:val="28"/>
              </w:rPr>
            </w:pPr>
            <w:r>
              <w:rPr>
                <w:sz w:val="24"/>
                <w:szCs w:val="24"/>
              </w:rPr>
              <w:fldChar w:fldCharType="begin">
                <w:ffData>
                  <w:name w:val="Podprojekt"/>
                  <w:enabled/>
                  <w:calcOnExit w:val="0"/>
                  <w:textInput/>
                </w:ffData>
              </w:fldChar>
            </w:r>
            <w:r>
              <w:rPr>
                <w:sz w:val="24"/>
                <w:szCs w:val="24"/>
              </w:rPr>
              <w:instrText xml:space="preserve"> FORMTEXT </w:instrText>
            </w:r>
            <w:r w:rsidR="006507E3">
              <w:rPr>
                <w:sz w:val="24"/>
                <w:szCs w:val="24"/>
              </w:rPr>
            </w:r>
            <w:r w:rsidR="006507E3">
              <w:rPr>
                <w:sz w:val="24"/>
                <w:szCs w:val="24"/>
              </w:rPr>
              <w:fldChar w:fldCharType="separate"/>
            </w:r>
            <w:r>
              <w:rPr>
                <w:sz w:val="24"/>
                <w:szCs w:val="24"/>
              </w:rPr>
              <w:fldChar w:fldCharType="end"/>
            </w:r>
          </w:p>
        </w:tc>
        <w:tc>
          <w:tcPr>
            <w:tcW w:w="1662" w:type="dxa"/>
            <w:gridSpan w:val="2"/>
            <w:vMerge w:val="restart"/>
            <w:tcBorders>
              <w:top w:val="nil"/>
              <w:left w:val="nil"/>
              <w:bottom w:val="nil"/>
            </w:tcBorders>
            <w:vAlign w:val="bottom"/>
          </w:tcPr>
          <w:p w14:paraId="4CACB7B7" w14:textId="77777777" w:rsidR="007C30E9" w:rsidRDefault="007C30E9" w:rsidP="007C30E9">
            <w:pPr>
              <w:pStyle w:val="dajtabulky"/>
              <w:spacing w:line="240" w:lineRule="auto"/>
            </w:pPr>
          </w:p>
        </w:tc>
      </w:tr>
      <w:tr w:rsidR="007C30E9" w14:paraId="319776A3" w14:textId="77777777" w:rsidTr="002424E4">
        <w:trPr>
          <w:trHeight w:val="340"/>
        </w:trPr>
        <w:tc>
          <w:tcPr>
            <w:tcW w:w="977" w:type="dxa"/>
            <w:tcBorders>
              <w:top w:val="nil"/>
              <w:bottom w:val="nil"/>
              <w:right w:val="nil"/>
            </w:tcBorders>
            <w:vAlign w:val="center"/>
          </w:tcPr>
          <w:p w14:paraId="34B822BC" w14:textId="77777777" w:rsidR="007C30E9" w:rsidRDefault="007C30E9" w:rsidP="007C30E9">
            <w:pPr>
              <w:pStyle w:val="Popisektabulky"/>
              <w:spacing w:line="240" w:lineRule="auto"/>
            </w:pPr>
          </w:p>
        </w:tc>
        <w:tc>
          <w:tcPr>
            <w:tcW w:w="7000" w:type="dxa"/>
            <w:gridSpan w:val="2"/>
            <w:vMerge/>
            <w:tcBorders>
              <w:top w:val="nil"/>
              <w:left w:val="nil"/>
              <w:bottom w:val="nil"/>
              <w:right w:val="nil"/>
            </w:tcBorders>
            <w:vAlign w:val="center"/>
          </w:tcPr>
          <w:p w14:paraId="17195DE4" w14:textId="77777777" w:rsidR="007C30E9" w:rsidRDefault="007C30E9" w:rsidP="007C30E9">
            <w:pPr>
              <w:spacing w:line="240" w:lineRule="auto"/>
              <w:rPr>
                <w:sz w:val="28"/>
                <w:szCs w:val="28"/>
              </w:rPr>
            </w:pPr>
          </w:p>
        </w:tc>
        <w:tc>
          <w:tcPr>
            <w:tcW w:w="1662" w:type="dxa"/>
            <w:gridSpan w:val="2"/>
            <w:vMerge/>
            <w:tcBorders>
              <w:top w:val="nil"/>
              <w:left w:val="nil"/>
              <w:bottom w:val="nil"/>
            </w:tcBorders>
            <w:vAlign w:val="center"/>
          </w:tcPr>
          <w:p w14:paraId="4333B444" w14:textId="77777777" w:rsidR="007C30E9" w:rsidRDefault="007C30E9" w:rsidP="007C30E9">
            <w:pPr>
              <w:spacing w:line="240" w:lineRule="auto"/>
              <w:rPr>
                <w:b/>
                <w:bCs/>
                <w:color w:val="99CCFF"/>
                <w:sz w:val="144"/>
                <w:szCs w:val="144"/>
              </w:rPr>
            </w:pPr>
          </w:p>
        </w:tc>
      </w:tr>
      <w:tr w:rsidR="007C30E9" w14:paraId="752A5707" w14:textId="77777777" w:rsidTr="002424E4">
        <w:trPr>
          <w:trHeight w:val="340"/>
        </w:trPr>
        <w:tc>
          <w:tcPr>
            <w:tcW w:w="977" w:type="dxa"/>
            <w:tcBorders>
              <w:top w:val="nil"/>
              <w:bottom w:val="nil"/>
              <w:right w:val="nil"/>
            </w:tcBorders>
            <w:vAlign w:val="center"/>
          </w:tcPr>
          <w:p w14:paraId="1AAF0E34" w14:textId="77777777" w:rsidR="007C30E9" w:rsidRDefault="007C30E9" w:rsidP="007C30E9">
            <w:pPr>
              <w:pStyle w:val="Popisektabulky"/>
              <w:spacing w:line="240" w:lineRule="auto"/>
            </w:pPr>
          </w:p>
        </w:tc>
        <w:tc>
          <w:tcPr>
            <w:tcW w:w="7000" w:type="dxa"/>
            <w:gridSpan w:val="2"/>
            <w:vMerge/>
            <w:tcBorders>
              <w:top w:val="nil"/>
              <w:left w:val="nil"/>
              <w:bottom w:val="nil"/>
              <w:right w:val="nil"/>
            </w:tcBorders>
            <w:vAlign w:val="center"/>
          </w:tcPr>
          <w:p w14:paraId="48C0A334" w14:textId="77777777" w:rsidR="007C30E9" w:rsidRDefault="007C30E9" w:rsidP="007C30E9">
            <w:pPr>
              <w:spacing w:line="240" w:lineRule="auto"/>
              <w:rPr>
                <w:sz w:val="28"/>
                <w:szCs w:val="28"/>
              </w:rPr>
            </w:pPr>
          </w:p>
        </w:tc>
        <w:tc>
          <w:tcPr>
            <w:tcW w:w="1662" w:type="dxa"/>
            <w:gridSpan w:val="2"/>
            <w:vMerge/>
            <w:tcBorders>
              <w:top w:val="nil"/>
              <w:left w:val="nil"/>
              <w:bottom w:val="nil"/>
            </w:tcBorders>
            <w:vAlign w:val="center"/>
          </w:tcPr>
          <w:p w14:paraId="2141D237" w14:textId="77777777" w:rsidR="007C30E9" w:rsidRDefault="007C30E9" w:rsidP="007C30E9">
            <w:pPr>
              <w:spacing w:line="240" w:lineRule="auto"/>
              <w:rPr>
                <w:b/>
                <w:bCs/>
                <w:color w:val="99CCFF"/>
                <w:sz w:val="144"/>
                <w:szCs w:val="144"/>
              </w:rPr>
            </w:pPr>
          </w:p>
        </w:tc>
      </w:tr>
      <w:tr w:rsidR="007C30E9" w14:paraId="7F84242F" w14:textId="77777777" w:rsidTr="002424E4">
        <w:trPr>
          <w:trHeight w:val="340"/>
        </w:trPr>
        <w:tc>
          <w:tcPr>
            <w:tcW w:w="977" w:type="dxa"/>
            <w:tcBorders>
              <w:top w:val="nil"/>
              <w:bottom w:val="nil"/>
              <w:right w:val="nil"/>
            </w:tcBorders>
          </w:tcPr>
          <w:p w14:paraId="74599995" w14:textId="77777777" w:rsidR="007C30E9" w:rsidRDefault="007C30E9" w:rsidP="007C30E9">
            <w:pPr>
              <w:pStyle w:val="Popisektabulky"/>
              <w:spacing w:line="240" w:lineRule="auto"/>
            </w:pPr>
          </w:p>
        </w:tc>
        <w:tc>
          <w:tcPr>
            <w:tcW w:w="6100" w:type="dxa"/>
            <w:tcBorders>
              <w:top w:val="nil"/>
              <w:left w:val="nil"/>
              <w:bottom w:val="nil"/>
              <w:right w:val="nil"/>
            </w:tcBorders>
            <w:vAlign w:val="center"/>
          </w:tcPr>
          <w:p w14:paraId="2C65D4A7" w14:textId="764957B7" w:rsidR="007C30E9" w:rsidRDefault="007C30E9" w:rsidP="007C30E9">
            <w:pPr>
              <w:pStyle w:val="dajtabulky12"/>
              <w:spacing w:line="240" w:lineRule="auto"/>
            </w:pPr>
            <w:r>
              <w:fldChar w:fldCharType="begin">
                <w:ffData>
                  <w:name w:val="Oddil"/>
                  <w:enabled/>
                  <w:calcOnExit w:val="0"/>
                  <w:textInput>
                    <w:default w:val="D - Dokumentace stavebních objektů"/>
                  </w:textInput>
                </w:ffData>
              </w:fldChar>
            </w:r>
            <w:bookmarkStart w:id="11" w:name="Oddil"/>
            <w:r>
              <w:instrText xml:space="preserve"> FORMTEXT </w:instrText>
            </w:r>
            <w:r>
              <w:fldChar w:fldCharType="separate"/>
            </w:r>
            <w:r>
              <w:t>D - Dokumentace stavebních objektů</w:t>
            </w:r>
            <w:r>
              <w:fldChar w:fldCharType="end"/>
            </w:r>
            <w:bookmarkEnd w:id="11"/>
          </w:p>
        </w:tc>
        <w:tc>
          <w:tcPr>
            <w:tcW w:w="900" w:type="dxa"/>
            <w:tcBorders>
              <w:top w:val="nil"/>
              <w:left w:val="nil"/>
              <w:bottom w:val="nil"/>
              <w:right w:val="nil"/>
            </w:tcBorders>
            <w:vAlign w:val="center"/>
          </w:tcPr>
          <w:p w14:paraId="599BD752" w14:textId="77777777" w:rsidR="007C30E9" w:rsidRDefault="007C30E9" w:rsidP="007C30E9">
            <w:pPr>
              <w:pStyle w:val="Firma"/>
              <w:spacing w:line="240" w:lineRule="auto"/>
            </w:pPr>
          </w:p>
        </w:tc>
        <w:tc>
          <w:tcPr>
            <w:tcW w:w="1662" w:type="dxa"/>
            <w:gridSpan w:val="2"/>
            <w:vMerge/>
            <w:tcBorders>
              <w:top w:val="nil"/>
              <w:left w:val="nil"/>
              <w:bottom w:val="nil"/>
            </w:tcBorders>
            <w:vAlign w:val="center"/>
          </w:tcPr>
          <w:p w14:paraId="4AA037A9" w14:textId="77777777" w:rsidR="007C30E9" w:rsidRDefault="007C30E9" w:rsidP="007C30E9">
            <w:pPr>
              <w:spacing w:line="240" w:lineRule="auto"/>
              <w:rPr>
                <w:b/>
                <w:bCs/>
                <w:color w:val="99CCFF"/>
                <w:sz w:val="144"/>
                <w:szCs w:val="144"/>
              </w:rPr>
            </w:pPr>
          </w:p>
        </w:tc>
      </w:tr>
      <w:tr w:rsidR="007C30E9" w14:paraId="477CE758" w14:textId="77777777" w:rsidTr="002424E4">
        <w:trPr>
          <w:trHeight w:val="340"/>
        </w:trPr>
        <w:tc>
          <w:tcPr>
            <w:tcW w:w="977" w:type="dxa"/>
            <w:tcBorders>
              <w:top w:val="nil"/>
              <w:bottom w:val="nil"/>
              <w:right w:val="nil"/>
            </w:tcBorders>
          </w:tcPr>
          <w:p w14:paraId="0B6D1E75" w14:textId="77777777" w:rsidR="007C30E9" w:rsidRDefault="007C30E9" w:rsidP="007C30E9">
            <w:pPr>
              <w:pStyle w:val="Popisektabulky"/>
              <w:spacing w:line="240" w:lineRule="auto"/>
            </w:pPr>
          </w:p>
        </w:tc>
        <w:tc>
          <w:tcPr>
            <w:tcW w:w="6100" w:type="dxa"/>
            <w:tcBorders>
              <w:top w:val="nil"/>
              <w:left w:val="nil"/>
              <w:bottom w:val="nil"/>
              <w:right w:val="nil"/>
            </w:tcBorders>
            <w:vAlign w:val="center"/>
          </w:tcPr>
          <w:p w14:paraId="743619E2" w14:textId="77777777" w:rsidR="007C30E9" w:rsidRDefault="007C30E9" w:rsidP="007C30E9">
            <w:pPr>
              <w:pStyle w:val="dajtabulky12"/>
              <w:spacing w:line="240" w:lineRule="auto"/>
            </w:pPr>
            <w:r>
              <w:fldChar w:fldCharType="begin">
                <w:ffData>
                  <w:name w:val=""/>
                  <w:enabled/>
                  <w:calcOnExit w:val="0"/>
                  <w:textInput>
                    <w:default w:val="D.1 - SO 311 Kanalizace (úsek Š2-š7223)"/>
                  </w:textInput>
                </w:ffData>
              </w:fldChar>
            </w:r>
            <w:r>
              <w:instrText xml:space="preserve"> FORMTEXT </w:instrText>
            </w:r>
            <w:r>
              <w:fldChar w:fldCharType="separate"/>
            </w:r>
            <w:r>
              <w:t>D.1 - SO 311 Kanalizace (úsek Š2-š7223)</w:t>
            </w:r>
            <w:r>
              <w:fldChar w:fldCharType="end"/>
            </w:r>
          </w:p>
        </w:tc>
        <w:tc>
          <w:tcPr>
            <w:tcW w:w="900" w:type="dxa"/>
            <w:tcBorders>
              <w:top w:val="nil"/>
              <w:left w:val="nil"/>
              <w:bottom w:val="nil"/>
              <w:right w:val="nil"/>
            </w:tcBorders>
            <w:vAlign w:val="center"/>
          </w:tcPr>
          <w:p w14:paraId="5A8BF9D2" w14:textId="77777777" w:rsidR="007C30E9" w:rsidRDefault="007C30E9" w:rsidP="007C30E9">
            <w:pPr>
              <w:pStyle w:val="Firma"/>
              <w:spacing w:line="240" w:lineRule="auto"/>
            </w:pPr>
          </w:p>
        </w:tc>
        <w:tc>
          <w:tcPr>
            <w:tcW w:w="1662" w:type="dxa"/>
            <w:gridSpan w:val="2"/>
            <w:vMerge/>
            <w:tcBorders>
              <w:top w:val="nil"/>
              <w:left w:val="nil"/>
              <w:bottom w:val="nil"/>
            </w:tcBorders>
            <w:vAlign w:val="center"/>
          </w:tcPr>
          <w:p w14:paraId="46FBDDE8" w14:textId="77777777" w:rsidR="007C30E9" w:rsidRDefault="007C30E9" w:rsidP="007C30E9">
            <w:pPr>
              <w:spacing w:line="240" w:lineRule="auto"/>
              <w:rPr>
                <w:b/>
                <w:bCs/>
                <w:color w:val="99CCFF"/>
                <w:sz w:val="144"/>
                <w:szCs w:val="144"/>
              </w:rPr>
            </w:pPr>
          </w:p>
        </w:tc>
      </w:tr>
      <w:tr w:rsidR="007C30E9" w14:paraId="14FD796D" w14:textId="77777777" w:rsidTr="002424E4">
        <w:trPr>
          <w:trHeight w:val="340"/>
        </w:trPr>
        <w:tc>
          <w:tcPr>
            <w:tcW w:w="977" w:type="dxa"/>
            <w:tcBorders>
              <w:top w:val="nil"/>
              <w:bottom w:val="nil"/>
              <w:right w:val="nil"/>
            </w:tcBorders>
          </w:tcPr>
          <w:p w14:paraId="1DC4018C" w14:textId="77777777" w:rsidR="007C30E9" w:rsidRDefault="007C30E9" w:rsidP="007C30E9">
            <w:pPr>
              <w:pStyle w:val="Popisektabulky"/>
              <w:spacing w:line="240" w:lineRule="auto"/>
            </w:pPr>
          </w:p>
        </w:tc>
        <w:tc>
          <w:tcPr>
            <w:tcW w:w="6100" w:type="dxa"/>
            <w:tcBorders>
              <w:top w:val="nil"/>
              <w:left w:val="nil"/>
              <w:bottom w:val="nil"/>
              <w:right w:val="nil"/>
            </w:tcBorders>
            <w:vAlign w:val="center"/>
          </w:tcPr>
          <w:p w14:paraId="037C24E4" w14:textId="77777777" w:rsidR="007C30E9" w:rsidRDefault="007C30E9" w:rsidP="007C30E9">
            <w:pPr>
              <w:pStyle w:val="dajtabulky12"/>
              <w:spacing w:line="240" w:lineRule="auto"/>
            </w:pPr>
          </w:p>
        </w:tc>
        <w:tc>
          <w:tcPr>
            <w:tcW w:w="900" w:type="dxa"/>
            <w:tcBorders>
              <w:top w:val="nil"/>
              <w:left w:val="nil"/>
              <w:bottom w:val="nil"/>
              <w:right w:val="nil"/>
            </w:tcBorders>
            <w:vAlign w:val="center"/>
          </w:tcPr>
          <w:p w14:paraId="4C9FE7D0" w14:textId="77777777" w:rsidR="007C30E9" w:rsidRDefault="007C30E9" w:rsidP="007C30E9">
            <w:pPr>
              <w:pStyle w:val="Firma"/>
              <w:spacing w:line="240" w:lineRule="auto"/>
            </w:pPr>
          </w:p>
        </w:tc>
        <w:tc>
          <w:tcPr>
            <w:tcW w:w="1662" w:type="dxa"/>
            <w:gridSpan w:val="2"/>
            <w:vMerge/>
            <w:tcBorders>
              <w:top w:val="nil"/>
              <w:left w:val="nil"/>
              <w:bottom w:val="nil"/>
            </w:tcBorders>
            <w:vAlign w:val="center"/>
          </w:tcPr>
          <w:p w14:paraId="2D8CFE1D" w14:textId="77777777" w:rsidR="007C30E9" w:rsidRDefault="007C30E9" w:rsidP="007C30E9">
            <w:pPr>
              <w:spacing w:line="240" w:lineRule="auto"/>
              <w:rPr>
                <w:b/>
                <w:bCs/>
                <w:color w:val="99CCFF"/>
                <w:sz w:val="144"/>
                <w:szCs w:val="144"/>
              </w:rPr>
            </w:pPr>
          </w:p>
        </w:tc>
      </w:tr>
      <w:tr w:rsidR="007C30E9" w14:paraId="17428E93" w14:textId="77777777" w:rsidTr="002424E4">
        <w:trPr>
          <w:trHeight w:val="340"/>
        </w:trPr>
        <w:tc>
          <w:tcPr>
            <w:tcW w:w="977" w:type="dxa"/>
            <w:tcBorders>
              <w:top w:val="nil"/>
              <w:bottom w:val="nil"/>
              <w:right w:val="nil"/>
            </w:tcBorders>
          </w:tcPr>
          <w:p w14:paraId="5B280ABC" w14:textId="77777777" w:rsidR="007C30E9" w:rsidRDefault="007C30E9" w:rsidP="007C30E9">
            <w:pPr>
              <w:pStyle w:val="Popisektabulky"/>
              <w:spacing w:line="240" w:lineRule="auto"/>
            </w:pPr>
          </w:p>
        </w:tc>
        <w:tc>
          <w:tcPr>
            <w:tcW w:w="6100" w:type="dxa"/>
            <w:tcBorders>
              <w:top w:val="nil"/>
              <w:left w:val="nil"/>
              <w:bottom w:val="nil"/>
              <w:right w:val="nil"/>
            </w:tcBorders>
            <w:vAlign w:val="center"/>
          </w:tcPr>
          <w:p w14:paraId="2A30BAB8" w14:textId="77777777" w:rsidR="007C30E9" w:rsidRDefault="007C30E9" w:rsidP="007C30E9">
            <w:pPr>
              <w:pStyle w:val="dajtabulky12"/>
              <w:spacing w:line="240" w:lineRule="auto"/>
            </w:pPr>
          </w:p>
        </w:tc>
        <w:tc>
          <w:tcPr>
            <w:tcW w:w="900" w:type="dxa"/>
            <w:tcBorders>
              <w:top w:val="nil"/>
              <w:left w:val="nil"/>
              <w:bottom w:val="nil"/>
              <w:right w:val="nil"/>
            </w:tcBorders>
            <w:vAlign w:val="center"/>
          </w:tcPr>
          <w:p w14:paraId="2A77F851" w14:textId="77777777" w:rsidR="007C30E9" w:rsidRDefault="007C30E9" w:rsidP="007C30E9">
            <w:pPr>
              <w:pStyle w:val="Firma"/>
              <w:spacing w:line="240" w:lineRule="auto"/>
            </w:pPr>
          </w:p>
        </w:tc>
        <w:tc>
          <w:tcPr>
            <w:tcW w:w="1662" w:type="dxa"/>
            <w:gridSpan w:val="2"/>
            <w:vMerge/>
            <w:tcBorders>
              <w:top w:val="nil"/>
              <w:left w:val="nil"/>
              <w:bottom w:val="nil"/>
            </w:tcBorders>
            <w:vAlign w:val="center"/>
          </w:tcPr>
          <w:p w14:paraId="577DFC3D" w14:textId="77777777" w:rsidR="007C30E9" w:rsidRDefault="007C30E9" w:rsidP="007C30E9">
            <w:pPr>
              <w:spacing w:line="240" w:lineRule="auto"/>
              <w:rPr>
                <w:b/>
                <w:bCs/>
                <w:color w:val="99CCFF"/>
                <w:sz w:val="144"/>
                <w:szCs w:val="144"/>
              </w:rPr>
            </w:pPr>
          </w:p>
        </w:tc>
      </w:tr>
      <w:tr w:rsidR="007C30E9" w14:paraId="37860A06" w14:textId="77777777" w:rsidTr="002424E4">
        <w:trPr>
          <w:trHeight w:val="340"/>
        </w:trPr>
        <w:tc>
          <w:tcPr>
            <w:tcW w:w="977" w:type="dxa"/>
            <w:tcBorders>
              <w:top w:val="nil"/>
              <w:bottom w:val="single" w:sz="12" w:space="0" w:color="auto"/>
              <w:right w:val="nil"/>
            </w:tcBorders>
          </w:tcPr>
          <w:p w14:paraId="6F644BC8" w14:textId="77777777" w:rsidR="007C30E9" w:rsidRDefault="007C30E9" w:rsidP="007C30E9">
            <w:pPr>
              <w:pStyle w:val="Popisektabulky"/>
              <w:spacing w:line="240" w:lineRule="auto"/>
            </w:pPr>
          </w:p>
        </w:tc>
        <w:tc>
          <w:tcPr>
            <w:tcW w:w="6100" w:type="dxa"/>
            <w:tcBorders>
              <w:top w:val="nil"/>
              <w:left w:val="nil"/>
              <w:bottom w:val="single" w:sz="12" w:space="0" w:color="auto"/>
              <w:right w:val="nil"/>
            </w:tcBorders>
            <w:vAlign w:val="center"/>
          </w:tcPr>
          <w:p w14:paraId="75BC2234" w14:textId="77777777" w:rsidR="007C30E9" w:rsidRDefault="007C30E9" w:rsidP="007C30E9">
            <w:pPr>
              <w:pStyle w:val="dajtabulky12"/>
              <w:spacing w:line="240" w:lineRule="auto"/>
            </w:pPr>
          </w:p>
        </w:tc>
        <w:tc>
          <w:tcPr>
            <w:tcW w:w="2562" w:type="dxa"/>
            <w:gridSpan w:val="3"/>
            <w:tcBorders>
              <w:top w:val="nil"/>
              <w:left w:val="nil"/>
              <w:bottom w:val="single" w:sz="12" w:space="0" w:color="auto"/>
            </w:tcBorders>
            <w:vAlign w:val="center"/>
          </w:tcPr>
          <w:p w14:paraId="4D790A1E" w14:textId="77777777" w:rsidR="007C30E9" w:rsidRDefault="007C30E9" w:rsidP="007C30E9">
            <w:pPr>
              <w:pStyle w:val="dajtabulky"/>
              <w:spacing w:line="240" w:lineRule="auto"/>
              <w:jc w:val="right"/>
            </w:pPr>
            <w:r>
              <w:t>Souprava</w:t>
            </w:r>
          </w:p>
        </w:tc>
      </w:tr>
      <w:tr w:rsidR="007C30E9" w14:paraId="437B32E4" w14:textId="77777777" w:rsidTr="002424E4">
        <w:trPr>
          <w:trHeight w:hRule="exact" w:val="281"/>
        </w:trPr>
        <w:tc>
          <w:tcPr>
            <w:tcW w:w="977" w:type="dxa"/>
            <w:tcBorders>
              <w:top w:val="single" w:sz="12" w:space="0" w:color="auto"/>
              <w:bottom w:val="nil"/>
              <w:right w:val="nil"/>
            </w:tcBorders>
            <w:shd w:val="clear" w:color="auto" w:fill="E0E0E0"/>
            <w:vAlign w:val="center"/>
          </w:tcPr>
          <w:p w14:paraId="2C3B5BF3" w14:textId="77777777" w:rsidR="007C30E9" w:rsidRDefault="007C30E9" w:rsidP="007C30E9">
            <w:pPr>
              <w:pStyle w:val="Popisektabulky"/>
              <w:spacing w:line="240" w:lineRule="auto"/>
            </w:pPr>
            <w:r>
              <w:t>Příloha</w:t>
            </w:r>
          </w:p>
        </w:tc>
        <w:tc>
          <w:tcPr>
            <w:tcW w:w="6100" w:type="dxa"/>
            <w:tcBorders>
              <w:top w:val="single" w:sz="12" w:space="0" w:color="auto"/>
              <w:left w:val="nil"/>
              <w:bottom w:val="nil"/>
              <w:right w:val="single" w:sz="12" w:space="0" w:color="auto"/>
            </w:tcBorders>
            <w:shd w:val="clear" w:color="auto" w:fill="E0E0E0"/>
            <w:vAlign w:val="center"/>
          </w:tcPr>
          <w:p w14:paraId="7C4355F6" w14:textId="77777777" w:rsidR="007C30E9" w:rsidRDefault="007C30E9" w:rsidP="007C30E9">
            <w:pPr>
              <w:spacing w:line="240" w:lineRule="auto"/>
            </w:pPr>
          </w:p>
        </w:tc>
        <w:tc>
          <w:tcPr>
            <w:tcW w:w="1973" w:type="dxa"/>
            <w:gridSpan w:val="2"/>
            <w:tcBorders>
              <w:top w:val="single" w:sz="12" w:space="0" w:color="auto"/>
              <w:left w:val="single" w:sz="12" w:space="0" w:color="auto"/>
              <w:bottom w:val="nil"/>
              <w:right w:val="single" w:sz="2" w:space="0" w:color="auto"/>
            </w:tcBorders>
            <w:shd w:val="clear" w:color="auto" w:fill="E0E0E0"/>
            <w:vAlign w:val="center"/>
          </w:tcPr>
          <w:p w14:paraId="3E45B2A8" w14:textId="77777777" w:rsidR="007C30E9" w:rsidRDefault="007C30E9" w:rsidP="007C30E9">
            <w:pPr>
              <w:pStyle w:val="Popisektabulky"/>
              <w:spacing w:line="240" w:lineRule="auto"/>
            </w:pPr>
            <w:r>
              <w:t>Číslo přílohy</w:t>
            </w:r>
          </w:p>
        </w:tc>
        <w:tc>
          <w:tcPr>
            <w:tcW w:w="589" w:type="dxa"/>
            <w:tcBorders>
              <w:top w:val="single" w:sz="12" w:space="0" w:color="auto"/>
              <w:left w:val="single" w:sz="2" w:space="0" w:color="auto"/>
              <w:bottom w:val="nil"/>
            </w:tcBorders>
            <w:shd w:val="clear" w:color="auto" w:fill="E0E0E0"/>
            <w:vAlign w:val="center"/>
          </w:tcPr>
          <w:p w14:paraId="12E3AD47" w14:textId="77777777" w:rsidR="007C30E9" w:rsidRDefault="007C30E9" w:rsidP="007C30E9">
            <w:pPr>
              <w:pStyle w:val="Popisektabulky"/>
              <w:spacing w:line="240" w:lineRule="auto"/>
            </w:pPr>
            <w:r>
              <w:t>Revize</w:t>
            </w:r>
          </w:p>
        </w:tc>
      </w:tr>
      <w:tr w:rsidR="007C30E9" w14:paraId="07BB769D" w14:textId="77777777" w:rsidTr="002424E4">
        <w:trPr>
          <w:trHeight w:val="567"/>
        </w:trPr>
        <w:tc>
          <w:tcPr>
            <w:tcW w:w="977" w:type="dxa"/>
            <w:tcBorders>
              <w:top w:val="nil"/>
              <w:bottom w:val="single" w:sz="12" w:space="0" w:color="auto"/>
              <w:right w:val="nil"/>
            </w:tcBorders>
            <w:shd w:val="clear" w:color="auto" w:fill="E0E0E0"/>
          </w:tcPr>
          <w:p w14:paraId="685C3436" w14:textId="77777777" w:rsidR="007C30E9" w:rsidRDefault="007C30E9" w:rsidP="007C30E9">
            <w:pPr>
              <w:pStyle w:val="Popisektabulky"/>
              <w:spacing w:line="240" w:lineRule="auto"/>
            </w:pPr>
          </w:p>
        </w:tc>
        <w:bookmarkStart w:id="12" w:name="Priloha"/>
        <w:tc>
          <w:tcPr>
            <w:tcW w:w="6100" w:type="dxa"/>
            <w:tcBorders>
              <w:top w:val="nil"/>
              <w:left w:val="nil"/>
              <w:bottom w:val="single" w:sz="12" w:space="0" w:color="auto"/>
              <w:right w:val="single" w:sz="12" w:space="0" w:color="auto"/>
            </w:tcBorders>
            <w:shd w:val="clear" w:color="auto" w:fill="E0E0E0"/>
            <w:vAlign w:val="center"/>
          </w:tcPr>
          <w:p w14:paraId="344BDE39" w14:textId="77777777" w:rsidR="007C30E9" w:rsidRDefault="007C30E9" w:rsidP="007C30E9">
            <w:pPr>
              <w:pStyle w:val="dajtabulky12"/>
              <w:spacing w:line="240" w:lineRule="auto"/>
            </w:pPr>
            <w:r>
              <w:fldChar w:fldCharType="begin">
                <w:ffData>
                  <w:name w:val="Priloha"/>
                  <w:enabled/>
                  <w:calcOnExit w:val="0"/>
                  <w:textInput>
                    <w:default w:val="TECHNICKÁ ZPRÁVA"/>
                  </w:textInput>
                </w:ffData>
              </w:fldChar>
            </w:r>
            <w:r>
              <w:instrText xml:space="preserve"> FORMTEXT </w:instrText>
            </w:r>
            <w:r>
              <w:fldChar w:fldCharType="separate"/>
            </w:r>
            <w:r>
              <w:t>TECHNICKÁ ZPRÁVA</w:t>
            </w:r>
            <w:r>
              <w:fldChar w:fldCharType="end"/>
            </w:r>
            <w:bookmarkEnd w:id="12"/>
          </w:p>
        </w:tc>
        <w:bookmarkStart w:id="13" w:name="Cislo_prilohy"/>
        <w:tc>
          <w:tcPr>
            <w:tcW w:w="1973" w:type="dxa"/>
            <w:gridSpan w:val="2"/>
            <w:tcBorders>
              <w:top w:val="nil"/>
              <w:left w:val="single" w:sz="12" w:space="0" w:color="auto"/>
              <w:bottom w:val="single" w:sz="12" w:space="0" w:color="auto"/>
              <w:right w:val="single" w:sz="2" w:space="0" w:color="auto"/>
            </w:tcBorders>
            <w:shd w:val="clear" w:color="auto" w:fill="E0E0E0"/>
            <w:vAlign w:val="center"/>
          </w:tcPr>
          <w:p w14:paraId="5D990C0B" w14:textId="77777777" w:rsidR="007C30E9" w:rsidRDefault="007C30E9" w:rsidP="007C30E9">
            <w:pPr>
              <w:pStyle w:val="dajtabulky14"/>
              <w:spacing w:line="240" w:lineRule="auto"/>
            </w:pPr>
            <w:r>
              <w:fldChar w:fldCharType="begin">
                <w:ffData>
                  <w:name w:val="Cislo_prilohy"/>
                  <w:enabled/>
                  <w:calcOnExit w:val="0"/>
                  <w:textInput>
                    <w:default w:val="D.1.1"/>
                  </w:textInput>
                </w:ffData>
              </w:fldChar>
            </w:r>
            <w:r>
              <w:instrText xml:space="preserve"> FORMTEXT </w:instrText>
            </w:r>
            <w:r>
              <w:fldChar w:fldCharType="separate"/>
            </w:r>
            <w:r>
              <w:t>D.1.1</w:t>
            </w:r>
            <w:r>
              <w:fldChar w:fldCharType="end"/>
            </w:r>
            <w:bookmarkEnd w:id="13"/>
          </w:p>
        </w:tc>
        <w:bookmarkStart w:id="14" w:name="Revize"/>
        <w:tc>
          <w:tcPr>
            <w:tcW w:w="589" w:type="dxa"/>
            <w:tcBorders>
              <w:top w:val="nil"/>
              <w:left w:val="single" w:sz="2" w:space="0" w:color="auto"/>
              <w:bottom w:val="single" w:sz="12" w:space="0" w:color="auto"/>
            </w:tcBorders>
            <w:shd w:val="clear" w:color="auto" w:fill="E0E0E0"/>
            <w:vAlign w:val="center"/>
          </w:tcPr>
          <w:p w14:paraId="536FEBF2" w14:textId="77777777" w:rsidR="007C30E9" w:rsidRDefault="007C30E9" w:rsidP="007C30E9">
            <w:pPr>
              <w:pStyle w:val="dajtabulky14"/>
              <w:spacing w:line="240" w:lineRule="auto"/>
            </w:pPr>
            <w:r>
              <w:fldChar w:fldCharType="begin">
                <w:ffData>
                  <w:name w:val="Revize"/>
                  <w:enabled/>
                  <w:calcOnExit w:val="0"/>
                  <w:textInput>
                    <w:default w:val="0"/>
                  </w:textInput>
                </w:ffData>
              </w:fldChar>
            </w:r>
            <w:r>
              <w:instrText xml:space="preserve"> FORMTEXT </w:instrText>
            </w:r>
            <w:r>
              <w:fldChar w:fldCharType="separate"/>
            </w:r>
            <w:r>
              <w:t>0</w:t>
            </w:r>
            <w:r>
              <w:fldChar w:fldCharType="end"/>
            </w:r>
            <w:bookmarkEnd w:id="14"/>
          </w:p>
        </w:tc>
      </w:tr>
    </w:tbl>
    <w:p w14:paraId="236C2248" w14:textId="77777777" w:rsidR="006A6DA7" w:rsidRDefault="006A6DA7" w:rsidP="006A6DA7"/>
    <w:p w14:paraId="066BECEA" w14:textId="77777777" w:rsidR="00A661B5" w:rsidRDefault="00A661B5" w:rsidP="008922DA">
      <w:pPr>
        <w:sectPr w:rsidR="00A661B5" w:rsidSect="00633FC3">
          <w:type w:val="continuous"/>
          <w:pgSz w:w="11906" w:h="16838" w:code="9"/>
          <w:pgMar w:top="1418" w:right="1134" w:bottom="567" w:left="1418" w:header="709" w:footer="709" w:gutter="0"/>
          <w:cols w:space="708"/>
          <w:vAlign w:val="bottom"/>
          <w:docGrid w:linePitch="360"/>
        </w:sectPr>
      </w:pPr>
    </w:p>
    <w:p w14:paraId="7C10FE9C" w14:textId="2189B1B6" w:rsidR="00376771" w:rsidRDefault="00CC549F">
      <w:pPr>
        <w:pStyle w:val="Obsah1"/>
        <w:tabs>
          <w:tab w:val="right" w:leader="dot" w:pos="9627"/>
        </w:tabs>
        <w:rPr>
          <w:rFonts w:asciiTheme="minorHAnsi" w:eastAsiaTheme="minorEastAsia" w:hAnsiTheme="minorHAnsi" w:cstheme="minorBidi"/>
          <w:b w:val="0"/>
          <w:bCs w:val="0"/>
          <w:noProof/>
          <w:color w:val="auto"/>
          <w:szCs w:val="22"/>
        </w:rPr>
      </w:pPr>
      <w:r>
        <w:rPr>
          <w:b w:val="0"/>
          <w:bCs w:val="0"/>
        </w:rPr>
        <w:lastRenderedPageBreak/>
        <w:fldChar w:fldCharType="begin"/>
      </w:r>
      <w:r w:rsidR="002A5F06">
        <w:rPr>
          <w:b w:val="0"/>
          <w:bCs w:val="0"/>
        </w:rPr>
        <w:instrText xml:space="preserve"> TOC \o "1-3" \h \z \u </w:instrText>
      </w:r>
      <w:r>
        <w:rPr>
          <w:b w:val="0"/>
          <w:bCs w:val="0"/>
        </w:rPr>
        <w:fldChar w:fldCharType="separate"/>
      </w:r>
      <w:hyperlink w:anchor="_Toc53736206" w:history="1">
        <w:r w:rsidR="00376771" w:rsidRPr="00891345">
          <w:rPr>
            <w:rStyle w:val="Hypertextovodkaz"/>
            <w:noProof/>
          </w:rPr>
          <w:t>1</w:t>
        </w:r>
        <w:r w:rsidR="00376771">
          <w:rPr>
            <w:rFonts w:asciiTheme="minorHAnsi" w:eastAsiaTheme="minorEastAsia" w:hAnsiTheme="minorHAnsi" w:cstheme="minorBidi"/>
            <w:b w:val="0"/>
            <w:bCs w:val="0"/>
            <w:noProof/>
            <w:color w:val="auto"/>
            <w:szCs w:val="22"/>
          </w:rPr>
          <w:tab/>
        </w:r>
        <w:r w:rsidR="00376771" w:rsidRPr="00891345">
          <w:rPr>
            <w:rStyle w:val="Hypertextovodkaz"/>
            <w:noProof/>
          </w:rPr>
          <w:t>POPIS STÁVAJÍCÍHO STAVU</w:t>
        </w:r>
        <w:r w:rsidR="00376771">
          <w:rPr>
            <w:noProof/>
            <w:webHidden/>
          </w:rPr>
          <w:tab/>
        </w:r>
        <w:r w:rsidR="00376771">
          <w:rPr>
            <w:noProof/>
            <w:webHidden/>
          </w:rPr>
          <w:fldChar w:fldCharType="begin"/>
        </w:r>
        <w:r w:rsidR="00376771">
          <w:rPr>
            <w:noProof/>
            <w:webHidden/>
          </w:rPr>
          <w:instrText xml:space="preserve"> PAGEREF _Toc53736206 \h </w:instrText>
        </w:r>
        <w:r w:rsidR="00376771">
          <w:rPr>
            <w:noProof/>
            <w:webHidden/>
          </w:rPr>
        </w:r>
        <w:r w:rsidR="00376771">
          <w:rPr>
            <w:noProof/>
            <w:webHidden/>
          </w:rPr>
          <w:fldChar w:fldCharType="separate"/>
        </w:r>
        <w:r w:rsidR="00376771">
          <w:rPr>
            <w:noProof/>
            <w:webHidden/>
          </w:rPr>
          <w:t>4</w:t>
        </w:r>
        <w:r w:rsidR="00376771">
          <w:rPr>
            <w:noProof/>
            <w:webHidden/>
          </w:rPr>
          <w:fldChar w:fldCharType="end"/>
        </w:r>
      </w:hyperlink>
    </w:p>
    <w:p w14:paraId="3304AF44" w14:textId="4851EE1A" w:rsidR="00376771" w:rsidRDefault="006507E3">
      <w:pPr>
        <w:pStyle w:val="Obsah1"/>
        <w:tabs>
          <w:tab w:val="right" w:leader="dot" w:pos="9627"/>
        </w:tabs>
        <w:rPr>
          <w:rFonts w:asciiTheme="minorHAnsi" w:eastAsiaTheme="minorEastAsia" w:hAnsiTheme="minorHAnsi" w:cstheme="minorBidi"/>
          <w:b w:val="0"/>
          <w:bCs w:val="0"/>
          <w:noProof/>
          <w:color w:val="auto"/>
          <w:szCs w:val="22"/>
        </w:rPr>
      </w:pPr>
      <w:hyperlink w:anchor="_Toc53736207" w:history="1">
        <w:r w:rsidR="00376771" w:rsidRPr="00891345">
          <w:rPr>
            <w:rStyle w:val="Hypertextovodkaz"/>
            <w:noProof/>
          </w:rPr>
          <w:t>2</w:t>
        </w:r>
        <w:r w:rsidR="00376771">
          <w:rPr>
            <w:rFonts w:asciiTheme="minorHAnsi" w:eastAsiaTheme="minorEastAsia" w:hAnsiTheme="minorHAnsi" w:cstheme="minorBidi"/>
            <w:b w:val="0"/>
            <w:bCs w:val="0"/>
            <w:noProof/>
            <w:color w:val="auto"/>
            <w:szCs w:val="22"/>
          </w:rPr>
          <w:tab/>
        </w:r>
        <w:r w:rsidR="00376771" w:rsidRPr="00891345">
          <w:rPr>
            <w:rStyle w:val="Hypertextovodkaz"/>
            <w:noProof/>
          </w:rPr>
          <w:t>ÚDAJE O STAVBĚ</w:t>
        </w:r>
        <w:r w:rsidR="00376771">
          <w:rPr>
            <w:noProof/>
            <w:webHidden/>
          </w:rPr>
          <w:tab/>
        </w:r>
        <w:r w:rsidR="00376771">
          <w:rPr>
            <w:noProof/>
            <w:webHidden/>
          </w:rPr>
          <w:fldChar w:fldCharType="begin"/>
        </w:r>
        <w:r w:rsidR="00376771">
          <w:rPr>
            <w:noProof/>
            <w:webHidden/>
          </w:rPr>
          <w:instrText xml:space="preserve"> PAGEREF _Toc53736207 \h </w:instrText>
        </w:r>
        <w:r w:rsidR="00376771">
          <w:rPr>
            <w:noProof/>
            <w:webHidden/>
          </w:rPr>
        </w:r>
        <w:r w:rsidR="00376771">
          <w:rPr>
            <w:noProof/>
            <w:webHidden/>
          </w:rPr>
          <w:fldChar w:fldCharType="separate"/>
        </w:r>
        <w:r w:rsidR="00376771">
          <w:rPr>
            <w:noProof/>
            <w:webHidden/>
          </w:rPr>
          <w:t>4</w:t>
        </w:r>
        <w:r w:rsidR="00376771">
          <w:rPr>
            <w:noProof/>
            <w:webHidden/>
          </w:rPr>
          <w:fldChar w:fldCharType="end"/>
        </w:r>
      </w:hyperlink>
    </w:p>
    <w:p w14:paraId="55C4A2A3" w14:textId="42046C0B" w:rsidR="00376771" w:rsidRDefault="006507E3">
      <w:pPr>
        <w:pStyle w:val="Obsah1"/>
        <w:tabs>
          <w:tab w:val="right" w:leader="dot" w:pos="9627"/>
        </w:tabs>
        <w:rPr>
          <w:rFonts w:asciiTheme="minorHAnsi" w:eastAsiaTheme="minorEastAsia" w:hAnsiTheme="minorHAnsi" w:cstheme="minorBidi"/>
          <w:b w:val="0"/>
          <w:bCs w:val="0"/>
          <w:noProof/>
          <w:color w:val="auto"/>
          <w:szCs w:val="22"/>
        </w:rPr>
      </w:pPr>
      <w:hyperlink w:anchor="_Toc53736208" w:history="1">
        <w:r w:rsidR="00376771" w:rsidRPr="00891345">
          <w:rPr>
            <w:rStyle w:val="Hypertextovodkaz"/>
            <w:noProof/>
          </w:rPr>
          <w:t>3</w:t>
        </w:r>
        <w:r w:rsidR="00376771">
          <w:rPr>
            <w:rFonts w:asciiTheme="minorHAnsi" w:eastAsiaTheme="minorEastAsia" w:hAnsiTheme="minorHAnsi" w:cstheme="minorBidi"/>
            <w:b w:val="0"/>
            <w:bCs w:val="0"/>
            <w:noProof/>
            <w:color w:val="auto"/>
            <w:szCs w:val="22"/>
          </w:rPr>
          <w:tab/>
        </w:r>
        <w:r w:rsidR="00376771" w:rsidRPr="00891345">
          <w:rPr>
            <w:rStyle w:val="Hypertextovodkaz"/>
            <w:noProof/>
          </w:rPr>
          <w:t>TECHNICKÝ POPIS</w:t>
        </w:r>
        <w:r w:rsidR="00376771">
          <w:rPr>
            <w:noProof/>
            <w:webHidden/>
          </w:rPr>
          <w:tab/>
        </w:r>
        <w:r w:rsidR="00376771">
          <w:rPr>
            <w:noProof/>
            <w:webHidden/>
          </w:rPr>
          <w:fldChar w:fldCharType="begin"/>
        </w:r>
        <w:r w:rsidR="00376771">
          <w:rPr>
            <w:noProof/>
            <w:webHidden/>
          </w:rPr>
          <w:instrText xml:space="preserve"> PAGEREF _Toc53736208 \h </w:instrText>
        </w:r>
        <w:r w:rsidR="00376771">
          <w:rPr>
            <w:noProof/>
            <w:webHidden/>
          </w:rPr>
        </w:r>
        <w:r w:rsidR="00376771">
          <w:rPr>
            <w:noProof/>
            <w:webHidden/>
          </w:rPr>
          <w:fldChar w:fldCharType="separate"/>
        </w:r>
        <w:r w:rsidR="00376771">
          <w:rPr>
            <w:noProof/>
            <w:webHidden/>
          </w:rPr>
          <w:t>4</w:t>
        </w:r>
        <w:r w:rsidR="00376771">
          <w:rPr>
            <w:noProof/>
            <w:webHidden/>
          </w:rPr>
          <w:fldChar w:fldCharType="end"/>
        </w:r>
      </w:hyperlink>
    </w:p>
    <w:p w14:paraId="73A0265F" w14:textId="41100E7A" w:rsidR="00376771" w:rsidRDefault="006507E3">
      <w:pPr>
        <w:pStyle w:val="Obsah2"/>
        <w:rPr>
          <w:rFonts w:asciiTheme="minorHAnsi" w:eastAsiaTheme="minorEastAsia" w:hAnsiTheme="minorHAnsi" w:cstheme="minorBidi"/>
          <w:szCs w:val="22"/>
        </w:rPr>
      </w:pPr>
      <w:hyperlink w:anchor="_Toc53736209" w:history="1">
        <w:r w:rsidR="00376771" w:rsidRPr="00891345">
          <w:rPr>
            <w:rStyle w:val="Hypertextovodkaz"/>
          </w:rPr>
          <w:t>3.1</w:t>
        </w:r>
        <w:r w:rsidR="00376771">
          <w:rPr>
            <w:rFonts w:asciiTheme="minorHAnsi" w:eastAsiaTheme="minorEastAsia" w:hAnsiTheme="minorHAnsi" w:cstheme="minorBidi"/>
            <w:szCs w:val="22"/>
          </w:rPr>
          <w:tab/>
        </w:r>
        <w:r w:rsidR="00376771" w:rsidRPr="00891345">
          <w:rPr>
            <w:rStyle w:val="Hypertextovodkaz"/>
          </w:rPr>
          <w:t>Stoka</w:t>
        </w:r>
        <w:r w:rsidR="00376771">
          <w:rPr>
            <w:webHidden/>
          </w:rPr>
          <w:tab/>
        </w:r>
        <w:r w:rsidR="00376771">
          <w:rPr>
            <w:webHidden/>
          </w:rPr>
          <w:fldChar w:fldCharType="begin"/>
        </w:r>
        <w:r w:rsidR="00376771">
          <w:rPr>
            <w:webHidden/>
          </w:rPr>
          <w:instrText xml:space="preserve"> PAGEREF _Toc53736209 \h </w:instrText>
        </w:r>
        <w:r w:rsidR="00376771">
          <w:rPr>
            <w:webHidden/>
          </w:rPr>
        </w:r>
        <w:r w:rsidR="00376771">
          <w:rPr>
            <w:webHidden/>
          </w:rPr>
          <w:fldChar w:fldCharType="separate"/>
        </w:r>
        <w:r w:rsidR="00376771">
          <w:rPr>
            <w:webHidden/>
          </w:rPr>
          <w:t>4</w:t>
        </w:r>
        <w:r w:rsidR="00376771">
          <w:rPr>
            <w:webHidden/>
          </w:rPr>
          <w:fldChar w:fldCharType="end"/>
        </w:r>
      </w:hyperlink>
    </w:p>
    <w:p w14:paraId="61ECFE93" w14:textId="78171AC7" w:rsidR="00376771" w:rsidRDefault="006507E3">
      <w:pPr>
        <w:pStyle w:val="Obsah2"/>
        <w:rPr>
          <w:rFonts w:asciiTheme="minorHAnsi" w:eastAsiaTheme="minorEastAsia" w:hAnsiTheme="minorHAnsi" w:cstheme="minorBidi"/>
          <w:szCs w:val="22"/>
        </w:rPr>
      </w:pPr>
      <w:hyperlink w:anchor="_Toc53736210" w:history="1">
        <w:r w:rsidR="00376771" w:rsidRPr="00891345">
          <w:rPr>
            <w:rStyle w:val="Hypertextovodkaz"/>
          </w:rPr>
          <w:t>3.2</w:t>
        </w:r>
        <w:r w:rsidR="00376771">
          <w:rPr>
            <w:rFonts w:asciiTheme="minorHAnsi" w:eastAsiaTheme="minorEastAsia" w:hAnsiTheme="minorHAnsi" w:cstheme="minorBidi"/>
            <w:szCs w:val="22"/>
          </w:rPr>
          <w:tab/>
        </w:r>
        <w:r w:rsidR="00376771" w:rsidRPr="00891345">
          <w:rPr>
            <w:rStyle w:val="Hypertextovodkaz"/>
          </w:rPr>
          <w:t>Objekty na stokách</w:t>
        </w:r>
        <w:r w:rsidR="00376771">
          <w:rPr>
            <w:webHidden/>
          </w:rPr>
          <w:tab/>
        </w:r>
        <w:r w:rsidR="00376771">
          <w:rPr>
            <w:webHidden/>
          </w:rPr>
          <w:fldChar w:fldCharType="begin"/>
        </w:r>
        <w:r w:rsidR="00376771">
          <w:rPr>
            <w:webHidden/>
          </w:rPr>
          <w:instrText xml:space="preserve"> PAGEREF _Toc53736210 \h </w:instrText>
        </w:r>
        <w:r w:rsidR="00376771">
          <w:rPr>
            <w:webHidden/>
          </w:rPr>
        </w:r>
        <w:r w:rsidR="00376771">
          <w:rPr>
            <w:webHidden/>
          </w:rPr>
          <w:fldChar w:fldCharType="separate"/>
        </w:r>
        <w:r w:rsidR="00376771">
          <w:rPr>
            <w:webHidden/>
          </w:rPr>
          <w:t>5</w:t>
        </w:r>
        <w:r w:rsidR="00376771">
          <w:rPr>
            <w:webHidden/>
          </w:rPr>
          <w:fldChar w:fldCharType="end"/>
        </w:r>
      </w:hyperlink>
    </w:p>
    <w:p w14:paraId="5BEF352D" w14:textId="109D4B94" w:rsidR="00376771" w:rsidRDefault="006507E3">
      <w:pPr>
        <w:pStyle w:val="Obsah3"/>
        <w:tabs>
          <w:tab w:val="left" w:pos="1440"/>
          <w:tab w:val="right" w:leader="dot" w:pos="9627"/>
        </w:tabs>
        <w:rPr>
          <w:rFonts w:asciiTheme="minorHAnsi" w:eastAsiaTheme="minorEastAsia" w:hAnsiTheme="minorHAnsi" w:cstheme="minorBidi"/>
          <w:noProof/>
          <w:szCs w:val="22"/>
        </w:rPr>
      </w:pPr>
      <w:hyperlink w:anchor="_Toc53736211" w:history="1">
        <w:r w:rsidR="00376771" w:rsidRPr="00891345">
          <w:rPr>
            <w:rStyle w:val="Hypertextovodkaz"/>
            <w:noProof/>
          </w:rPr>
          <w:t>3.2.1</w:t>
        </w:r>
        <w:r w:rsidR="00376771">
          <w:rPr>
            <w:rFonts w:asciiTheme="minorHAnsi" w:eastAsiaTheme="minorEastAsia" w:hAnsiTheme="minorHAnsi" w:cstheme="minorBidi"/>
            <w:noProof/>
            <w:szCs w:val="22"/>
          </w:rPr>
          <w:tab/>
        </w:r>
        <w:r w:rsidR="00376771" w:rsidRPr="00891345">
          <w:rPr>
            <w:rStyle w:val="Hypertextovodkaz"/>
            <w:noProof/>
          </w:rPr>
          <w:t>Typové prefabrikované revizní šachty</w:t>
        </w:r>
        <w:r w:rsidR="00376771">
          <w:rPr>
            <w:noProof/>
            <w:webHidden/>
          </w:rPr>
          <w:tab/>
        </w:r>
        <w:r w:rsidR="00376771">
          <w:rPr>
            <w:noProof/>
            <w:webHidden/>
          </w:rPr>
          <w:fldChar w:fldCharType="begin"/>
        </w:r>
        <w:r w:rsidR="00376771">
          <w:rPr>
            <w:noProof/>
            <w:webHidden/>
          </w:rPr>
          <w:instrText xml:space="preserve"> PAGEREF _Toc53736211 \h </w:instrText>
        </w:r>
        <w:r w:rsidR="00376771">
          <w:rPr>
            <w:noProof/>
            <w:webHidden/>
          </w:rPr>
        </w:r>
        <w:r w:rsidR="00376771">
          <w:rPr>
            <w:noProof/>
            <w:webHidden/>
          </w:rPr>
          <w:fldChar w:fldCharType="separate"/>
        </w:r>
        <w:r w:rsidR="00376771">
          <w:rPr>
            <w:noProof/>
            <w:webHidden/>
          </w:rPr>
          <w:t>5</w:t>
        </w:r>
        <w:r w:rsidR="00376771">
          <w:rPr>
            <w:noProof/>
            <w:webHidden/>
          </w:rPr>
          <w:fldChar w:fldCharType="end"/>
        </w:r>
      </w:hyperlink>
    </w:p>
    <w:p w14:paraId="02D7EF25" w14:textId="44BEDF6E" w:rsidR="00376771" w:rsidRDefault="006507E3">
      <w:pPr>
        <w:pStyle w:val="Obsah3"/>
        <w:tabs>
          <w:tab w:val="left" w:pos="1440"/>
          <w:tab w:val="right" w:leader="dot" w:pos="9627"/>
        </w:tabs>
        <w:rPr>
          <w:rFonts w:asciiTheme="minorHAnsi" w:eastAsiaTheme="minorEastAsia" w:hAnsiTheme="minorHAnsi" w:cstheme="minorBidi"/>
          <w:noProof/>
          <w:szCs w:val="22"/>
        </w:rPr>
      </w:pPr>
      <w:hyperlink w:anchor="_Toc53736212" w:history="1">
        <w:r w:rsidR="00376771" w:rsidRPr="00891345">
          <w:rPr>
            <w:rStyle w:val="Hypertextovodkaz"/>
            <w:noProof/>
          </w:rPr>
          <w:t>3.2.2</w:t>
        </w:r>
        <w:r w:rsidR="00376771">
          <w:rPr>
            <w:rFonts w:asciiTheme="minorHAnsi" w:eastAsiaTheme="minorEastAsia" w:hAnsiTheme="minorHAnsi" w:cstheme="minorBidi"/>
            <w:noProof/>
            <w:szCs w:val="22"/>
          </w:rPr>
          <w:tab/>
        </w:r>
        <w:r w:rsidR="00376771" w:rsidRPr="00891345">
          <w:rPr>
            <w:rStyle w:val="Hypertextovodkaz"/>
            <w:noProof/>
          </w:rPr>
          <w:t>Atypické revizní šachty</w:t>
        </w:r>
        <w:r w:rsidR="00376771">
          <w:rPr>
            <w:noProof/>
            <w:webHidden/>
          </w:rPr>
          <w:tab/>
        </w:r>
        <w:r w:rsidR="00376771">
          <w:rPr>
            <w:noProof/>
            <w:webHidden/>
          </w:rPr>
          <w:fldChar w:fldCharType="begin"/>
        </w:r>
        <w:r w:rsidR="00376771">
          <w:rPr>
            <w:noProof/>
            <w:webHidden/>
          </w:rPr>
          <w:instrText xml:space="preserve"> PAGEREF _Toc53736212 \h </w:instrText>
        </w:r>
        <w:r w:rsidR="00376771">
          <w:rPr>
            <w:noProof/>
            <w:webHidden/>
          </w:rPr>
        </w:r>
        <w:r w:rsidR="00376771">
          <w:rPr>
            <w:noProof/>
            <w:webHidden/>
          </w:rPr>
          <w:fldChar w:fldCharType="separate"/>
        </w:r>
        <w:r w:rsidR="00376771">
          <w:rPr>
            <w:noProof/>
            <w:webHidden/>
          </w:rPr>
          <w:t>6</w:t>
        </w:r>
        <w:r w:rsidR="00376771">
          <w:rPr>
            <w:noProof/>
            <w:webHidden/>
          </w:rPr>
          <w:fldChar w:fldCharType="end"/>
        </w:r>
      </w:hyperlink>
    </w:p>
    <w:p w14:paraId="30FE1238" w14:textId="1314579E" w:rsidR="00376771" w:rsidRDefault="006507E3">
      <w:pPr>
        <w:pStyle w:val="Obsah2"/>
        <w:rPr>
          <w:rFonts w:asciiTheme="minorHAnsi" w:eastAsiaTheme="minorEastAsia" w:hAnsiTheme="minorHAnsi" w:cstheme="minorBidi"/>
          <w:szCs w:val="22"/>
        </w:rPr>
      </w:pPr>
      <w:hyperlink w:anchor="_Toc53736213" w:history="1">
        <w:r w:rsidR="00376771" w:rsidRPr="00891345">
          <w:rPr>
            <w:rStyle w:val="Hypertextovodkaz"/>
          </w:rPr>
          <w:t>3.3</w:t>
        </w:r>
        <w:r w:rsidR="00376771">
          <w:rPr>
            <w:rFonts w:asciiTheme="minorHAnsi" w:eastAsiaTheme="minorEastAsia" w:hAnsiTheme="minorHAnsi" w:cstheme="minorBidi"/>
            <w:szCs w:val="22"/>
          </w:rPr>
          <w:tab/>
        </w:r>
        <w:r w:rsidR="00376771" w:rsidRPr="00891345">
          <w:rPr>
            <w:rStyle w:val="Hypertextovodkaz"/>
          </w:rPr>
          <w:t>Napojení domovních přípojek a uličních vpustí</w:t>
        </w:r>
        <w:r w:rsidR="00376771">
          <w:rPr>
            <w:webHidden/>
          </w:rPr>
          <w:tab/>
        </w:r>
        <w:r w:rsidR="00376771">
          <w:rPr>
            <w:webHidden/>
          </w:rPr>
          <w:fldChar w:fldCharType="begin"/>
        </w:r>
        <w:r w:rsidR="00376771">
          <w:rPr>
            <w:webHidden/>
          </w:rPr>
          <w:instrText xml:space="preserve"> PAGEREF _Toc53736213 \h </w:instrText>
        </w:r>
        <w:r w:rsidR="00376771">
          <w:rPr>
            <w:webHidden/>
          </w:rPr>
        </w:r>
        <w:r w:rsidR="00376771">
          <w:rPr>
            <w:webHidden/>
          </w:rPr>
          <w:fldChar w:fldCharType="separate"/>
        </w:r>
        <w:r w:rsidR="00376771">
          <w:rPr>
            <w:webHidden/>
          </w:rPr>
          <w:t>7</w:t>
        </w:r>
        <w:r w:rsidR="00376771">
          <w:rPr>
            <w:webHidden/>
          </w:rPr>
          <w:fldChar w:fldCharType="end"/>
        </w:r>
      </w:hyperlink>
    </w:p>
    <w:p w14:paraId="1E0DB588" w14:textId="44D01DF2" w:rsidR="00376771" w:rsidRDefault="006507E3">
      <w:pPr>
        <w:pStyle w:val="Obsah3"/>
        <w:tabs>
          <w:tab w:val="left" w:pos="1440"/>
          <w:tab w:val="right" w:leader="dot" w:pos="9627"/>
        </w:tabs>
        <w:rPr>
          <w:rFonts w:asciiTheme="minorHAnsi" w:eastAsiaTheme="minorEastAsia" w:hAnsiTheme="minorHAnsi" w:cstheme="minorBidi"/>
          <w:noProof/>
          <w:szCs w:val="22"/>
        </w:rPr>
      </w:pPr>
      <w:hyperlink w:anchor="_Toc53736214" w:history="1">
        <w:r w:rsidR="00376771" w:rsidRPr="00891345">
          <w:rPr>
            <w:rStyle w:val="Hypertextovodkaz"/>
            <w:noProof/>
          </w:rPr>
          <w:t>3.3.1</w:t>
        </w:r>
        <w:r w:rsidR="00376771">
          <w:rPr>
            <w:rFonts w:asciiTheme="minorHAnsi" w:eastAsiaTheme="minorEastAsia" w:hAnsiTheme="minorHAnsi" w:cstheme="minorBidi"/>
            <w:noProof/>
            <w:szCs w:val="22"/>
          </w:rPr>
          <w:tab/>
        </w:r>
        <w:r w:rsidR="00376771" w:rsidRPr="00891345">
          <w:rPr>
            <w:rStyle w:val="Hypertextovodkaz"/>
            <w:noProof/>
          </w:rPr>
          <w:t>Napojení domovních přípojek</w:t>
        </w:r>
        <w:r w:rsidR="00376771">
          <w:rPr>
            <w:noProof/>
            <w:webHidden/>
          </w:rPr>
          <w:tab/>
        </w:r>
        <w:r w:rsidR="00376771">
          <w:rPr>
            <w:noProof/>
            <w:webHidden/>
          </w:rPr>
          <w:fldChar w:fldCharType="begin"/>
        </w:r>
        <w:r w:rsidR="00376771">
          <w:rPr>
            <w:noProof/>
            <w:webHidden/>
          </w:rPr>
          <w:instrText xml:space="preserve"> PAGEREF _Toc53736214 \h </w:instrText>
        </w:r>
        <w:r w:rsidR="00376771">
          <w:rPr>
            <w:noProof/>
            <w:webHidden/>
          </w:rPr>
        </w:r>
        <w:r w:rsidR="00376771">
          <w:rPr>
            <w:noProof/>
            <w:webHidden/>
          </w:rPr>
          <w:fldChar w:fldCharType="separate"/>
        </w:r>
        <w:r w:rsidR="00376771">
          <w:rPr>
            <w:noProof/>
            <w:webHidden/>
          </w:rPr>
          <w:t>7</w:t>
        </w:r>
        <w:r w:rsidR="00376771">
          <w:rPr>
            <w:noProof/>
            <w:webHidden/>
          </w:rPr>
          <w:fldChar w:fldCharType="end"/>
        </w:r>
      </w:hyperlink>
    </w:p>
    <w:p w14:paraId="0EF9DBF4" w14:textId="15615453" w:rsidR="00376771" w:rsidRDefault="006507E3">
      <w:pPr>
        <w:pStyle w:val="Obsah3"/>
        <w:tabs>
          <w:tab w:val="left" w:pos="1440"/>
          <w:tab w:val="right" w:leader="dot" w:pos="9627"/>
        </w:tabs>
        <w:rPr>
          <w:rFonts w:asciiTheme="minorHAnsi" w:eastAsiaTheme="minorEastAsia" w:hAnsiTheme="minorHAnsi" w:cstheme="minorBidi"/>
          <w:noProof/>
          <w:szCs w:val="22"/>
        </w:rPr>
      </w:pPr>
      <w:hyperlink w:anchor="_Toc53736215" w:history="1">
        <w:r w:rsidR="00376771" w:rsidRPr="00891345">
          <w:rPr>
            <w:rStyle w:val="Hypertextovodkaz"/>
            <w:noProof/>
          </w:rPr>
          <w:t>3.3.2</w:t>
        </w:r>
        <w:r w:rsidR="00376771">
          <w:rPr>
            <w:rFonts w:asciiTheme="minorHAnsi" w:eastAsiaTheme="minorEastAsia" w:hAnsiTheme="minorHAnsi" w:cstheme="minorBidi"/>
            <w:noProof/>
            <w:szCs w:val="22"/>
          </w:rPr>
          <w:tab/>
        </w:r>
        <w:r w:rsidR="00376771" w:rsidRPr="00891345">
          <w:rPr>
            <w:rStyle w:val="Hypertextovodkaz"/>
            <w:noProof/>
          </w:rPr>
          <w:t>Napojení uličních vpustí</w:t>
        </w:r>
        <w:r w:rsidR="00376771">
          <w:rPr>
            <w:noProof/>
            <w:webHidden/>
          </w:rPr>
          <w:tab/>
        </w:r>
        <w:r w:rsidR="00376771">
          <w:rPr>
            <w:noProof/>
            <w:webHidden/>
          </w:rPr>
          <w:fldChar w:fldCharType="begin"/>
        </w:r>
        <w:r w:rsidR="00376771">
          <w:rPr>
            <w:noProof/>
            <w:webHidden/>
          </w:rPr>
          <w:instrText xml:space="preserve"> PAGEREF _Toc53736215 \h </w:instrText>
        </w:r>
        <w:r w:rsidR="00376771">
          <w:rPr>
            <w:noProof/>
            <w:webHidden/>
          </w:rPr>
        </w:r>
        <w:r w:rsidR="00376771">
          <w:rPr>
            <w:noProof/>
            <w:webHidden/>
          </w:rPr>
          <w:fldChar w:fldCharType="separate"/>
        </w:r>
        <w:r w:rsidR="00376771">
          <w:rPr>
            <w:noProof/>
            <w:webHidden/>
          </w:rPr>
          <w:t>7</w:t>
        </w:r>
        <w:r w:rsidR="00376771">
          <w:rPr>
            <w:noProof/>
            <w:webHidden/>
          </w:rPr>
          <w:fldChar w:fldCharType="end"/>
        </w:r>
      </w:hyperlink>
    </w:p>
    <w:p w14:paraId="2277E64D" w14:textId="7F5A97FC" w:rsidR="00376771" w:rsidRDefault="006507E3">
      <w:pPr>
        <w:pStyle w:val="Obsah2"/>
        <w:rPr>
          <w:rFonts w:asciiTheme="minorHAnsi" w:eastAsiaTheme="minorEastAsia" w:hAnsiTheme="minorHAnsi" w:cstheme="minorBidi"/>
          <w:szCs w:val="22"/>
        </w:rPr>
      </w:pPr>
      <w:hyperlink w:anchor="_Toc53736216" w:history="1">
        <w:r w:rsidR="00376771" w:rsidRPr="00891345">
          <w:rPr>
            <w:rStyle w:val="Hypertextovodkaz"/>
          </w:rPr>
          <w:t>3.4</w:t>
        </w:r>
        <w:r w:rsidR="00376771">
          <w:rPr>
            <w:rFonts w:asciiTheme="minorHAnsi" w:eastAsiaTheme="minorEastAsia" w:hAnsiTheme="minorHAnsi" w:cstheme="minorBidi"/>
            <w:szCs w:val="22"/>
          </w:rPr>
          <w:tab/>
        </w:r>
        <w:r w:rsidR="00376771" w:rsidRPr="00891345">
          <w:rPr>
            <w:rStyle w:val="Hypertextovodkaz"/>
          </w:rPr>
          <w:t>Potrubí</w:t>
        </w:r>
        <w:r w:rsidR="00376771">
          <w:rPr>
            <w:webHidden/>
          </w:rPr>
          <w:tab/>
        </w:r>
        <w:r w:rsidR="00376771">
          <w:rPr>
            <w:webHidden/>
          </w:rPr>
          <w:fldChar w:fldCharType="begin"/>
        </w:r>
        <w:r w:rsidR="00376771">
          <w:rPr>
            <w:webHidden/>
          </w:rPr>
          <w:instrText xml:space="preserve"> PAGEREF _Toc53736216 \h </w:instrText>
        </w:r>
        <w:r w:rsidR="00376771">
          <w:rPr>
            <w:webHidden/>
          </w:rPr>
        </w:r>
        <w:r w:rsidR="00376771">
          <w:rPr>
            <w:webHidden/>
          </w:rPr>
          <w:fldChar w:fldCharType="separate"/>
        </w:r>
        <w:r w:rsidR="00376771">
          <w:rPr>
            <w:webHidden/>
          </w:rPr>
          <w:t>7</w:t>
        </w:r>
        <w:r w:rsidR="00376771">
          <w:rPr>
            <w:webHidden/>
          </w:rPr>
          <w:fldChar w:fldCharType="end"/>
        </w:r>
      </w:hyperlink>
    </w:p>
    <w:p w14:paraId="6CCAD676" w14:textId="0C61D1EF" w:rsidR="00376771" w:rsidRDefault="006507E3">
      <w:pPr>
        <w:pStyle w:val="Obsah2"/>
        <w:rPr>
          <w:rFonts w:asciiTheme="minorHAnsi" w:eastAsiaTheme="minorEastAsia" w:hAnsiTheme="minorHAnsi" w:cstheme="minorBidi"/>
          <w:szCs w:val="22"/>
        </w:rPr>
      </w:pPr>
      <w:hyperlink w:anchor="_Toc53736217" w:history="1">
        <w:r w:rsidR="00376771" w:rsidRPr="00891345">
          <w:rPr>
            <w:rStyle w:val="Hypertextovodkaz"/>
          </w:rPr>
          <w:t>3.5</w:t>
        </w:r>
        <w:r w:rsidR="00376771">
          <w:rPr>
            <w:rFonts w:asciiTheme="minorHAnsi" w:eastAsiaTheme="minorEastAsia" w:hAnsiTheme="minorHAnsi" w:cstheme="minorBidi"/>
            <w:szCs w:val="22"/>
          </w:rPr>
          <w:tab/>
        </w:r>
        <w:r w:rsidR="00376771" w:rsidRPr="00891345">
          <w:rPr>
            <w:rStyle w:val="Hypertextovodkaz"/>
          </w:rPr>
          <w:t>Dotčení inženýrských sítí a ochranných pásem</w:t>
        </w:r>
        <w:r w:rsidR="00376771">
          <w:rPr>
            <w:webHidden/>
          </w:rPr>
          <w:tab/>
        </w:r>
        <w:r w:rsidR="00376771">
          <w:rPr>
            <w:webHidden/>
          </w:rPr>
          <w:fldChar w:fldCharType="begin"/>
        </w:r>
        <w:r w:rsidR="00376771">
          <w:rPr>
            <w:webHidden/>
          </w:rPr>
          <w:instrText xml:space="preserve"> PAGEREF _Toc53736217 \h </w:instrText>
        </w:r>
        <w:r w:rsidR="00376771">
          <w:rPr>
            <w:webHidden/>
          </w:rPr>
        </w:r>
        <w:r w:rsidR="00376771">
          <w:rPr>
            <w:webHidden/>
          </w:rPr>
          <w:fldChar w:fldCharType="separate"/>
        </w:r>
        <w:r w:rsidR="00376771">
          <w:rPr>
            <w:webHidden/>
          </w:rPr>
          <w:t>7</w:t>
        </w:r>
        <w:r w:rsidR="00376771">
          <w:rPr>
            <w:webHidden/>
          </w:rPr>
          <w:fldChar w:fldCharType="end"/>
        </w:r>
      </w:hyperlink>
    </w:p>
    <w:p w14:paraId="3C925970" w14:textId="0F3C3F35" w:rsidR="00376771" w:rsidRDefault="006507E3">
      <w:pPr>
        <w:pStyle w:val="Obsah2"/>
        <w:rPr>
          <w:rFonts w:asciiTheme="minorHAnsi" w:eastAsiaTheme="minorEastAsia" w:hAnsiTheme="minorHAnsi" w:cstheme="minorBidi"/>
          <w:szCs w:val="22"/>
        </w:rPr>
      </w:pPr>
      <w:hyperlink w:anchor="_Toc53736218" w:history="1">
        <w:r w:rsidR="00376771" w:rsidRPr="00891345">
          <w:rPr>
            <w:rStyle w:val="Hypertextovodkaz"/>
          </w:rPr>
          <w:t>3.6</w:t>
        </w:r>
        <w:r w:rsidR="00376771">
          <w:rPr>
            <w:rFonts w:asciiTheme="minorHAnsi" w:eastAsiaTheme="minorEastAsia" w:hAnsiTheme="minorHAnsi" w:cstheme="minorBidi"/>
            <w:szCs w:val="22"/>
          </w:rPr>
          <w:tab/>
        </w:r>
        <w:r w:rsidR="00376771" w:rsidRPr="00891345">
          <w:rPr>
            <w:rStyle w:val="Hypertextovodkaz"/>
          </w:rPr>
          <w:t>Požadavky na kvalitu provedení</w:t>
        </w:r>
        <w:r w:rsidR="00376771">
          <w:rPr>
            <w:webHidden/>
          </w:rPr>
          <w:tab/>
        </w:r>
        <w:r w:rsidR="00376771">
          <w:rPr>
            <w:webHidden/>
          </w:rPr>
          <w:fldChar w:fldCharType="begin"/>
        </w:r>
        <w:r w:rsidR="00376771">
          <w:rPr>
            <w:webHidden/>
          </w:rPr>
          <w:instrText xml:space="preserve"> PAGEREF _Toc53736218 \h </w:instrText>
        </w:r>
        <w:r w:rsidR="00376771">
          <w:rPr>
            <w:webHidden/>
          </w:rPr>
        </w:r>
        <w:r w:rsidR="00376771">
          <w:rPr>
            <w:webHidden/>
          </w:rPr>
          <w:fldChar w:fldCharType="separate"/>
        </w:r>
        <w:r w:rsidR="00376771">
          <w:rPr>
            <w:webHidden/>
          </w:rPr>
          <w:t>8</w:t>
        </w:r>
        <w:r w:rsidR="00376771">
          <w:rPr>
            <w:webHidden/>
          </w:rPr>
          <w:fldChar w:fldCharType="end"/>
        </w:r>
      </w:hyperlink>
    </w:p>
    <w:p w14:paraId="557DFF2B" w14:textId="74A878E7" w:rsidR="00376771" w:rsidRDefault="006507E3">
      <w:pPr>
        <w:pStyle w:val="Obsah2"/>
        <w:rPr>
          <w:rFonts w:asciiTheme="minorHAnsi" w:eastAsiaTheme="minorEastAsia" w:hAnsiTheme="minorHAnsi" w:cstheme="minorBidi"/>
          <w:szCs w:val="22"/>
        </w:rPr>
      </w:pPr>
      <w:hyperlink w:anchor="_Toc53736219" w:history="1">
        <w:r w:rsidR="00376771" w:rsidRPr="00891345">
          <w:rPr>
            <w:rStyle w:val="Hypertextovodkaz"/>
          </w:rPr>
          <w:t>3.7</w:t>
        </w:r>
        <w:r w:rsidR="00376771">
          <w:rPr>
            <w:rFonts w:asciiTheme="minorHAnsi" w:eastAsiaTheme="minorEastAsia" w:hAnsiTheme="minorHAnsi" w:cstheme="minorBidi"/>
            <w:szCs w:val="22"/>
          </w:rPr>
          <w:tab/>
        </w:r>
        <w:r w:rsidR="00376771" w:rsidRPr="00891345">
          <w:rPr>
            <w:rStyle w:val="Hypertextovodkaz"/>
          </w:rPr>
          <w:t>Zkouška vodotěsnosti</w:t>
        </w:r>
        <w:r w:rsidR="00376771">
          <w:rPr>
            <w:webHidden/>
          </w:rPr>
          <w:tab/>
        </w:r>
        <w:r w:rsidR="00376771">
          <w:rPr>
            <w:webHidden/>
          </w:rPr>
          <w:fldChar w:fldCharType="begin"/>
        </w:r>
        <w:r w:rsidR="00376771">
          <w:rPr>
            <w:webHidden/>
          </w:rPr>
          <w:instrText xml:space="preserve"> PAGEREF _Toc53736219 \h </w:instrText>
        </w:r>
        <w:r w:rsidR="00376771">
          <w:rPr>
            <w:webHidden/>
          </w:rPr>
        </w:r>
        <w:r w:rsidR="00376771">
          <w:rPr>
            <w:webHidden/>
          </w:rPr>
          <w:fldChar w:fldCharType="separate"/>
        </w:r>
        <w:r w:rsidR="00376771">
          <w:rPr>
            <w:webHidden/>
          </w:rPr>
          <w:t>8</w:t>
        </w:r>
        <w:r w:rsidR="00376771">
          <w:rPr>
            <w:webHidden/>
          </w:rPr>
          <w:fldChar w:fldCharType="end"/>
        </w:r>
      </w:hyperlink>
    </w:p>
    <w:p w14:paraId="5DB2FA86" w14:textId="0D4B7977" w:rsidR="00376771" w:rsidRDefault="006507E3">
      <w:pPr>
        <w:pStyle w:val="Obsah2"/>
        <w:rPr>
          <w:rFonts w:asciiTheme="minorHAnsi" w:eastAsiaTheme="minorEastAsia" w:hAnsiTheme="minorHAnsi" w:cstheme="minorBidi"/>
          <w:szCs w:val="22"/>
        </w:rPr>
      </w:pPr>
      <w:hyperlink w:anchor="_Toc53736220" w:history="1">
        <w:r w:rsidR="00376771" w:rsidRPr="00891345">
          <w:rPr>
            <w:rStyle w:val="Hypertextovodkaz"/>
          </w:rPr>
          <w:t>3.8</w:t>
        </w:r>
        <w:r w:rsidR="00376771">
          <w:rPr>
            <w:rFonts w:asciiTheme="minorHAnsi" w:eastAsiaTheme="minorEastAsia" w:hAnsiTheme="minorHAnsi" w:cstheme="minorBidi"/>
            <w:szCs w:val="22"/>
          </w:rPr>
          <w:tab/>
        </w:r>
        <w:r w:rsidR="00376771" w:rsidRPr="00891345">
          <w:rPr>
            <w:rStyle w:val="Hypertextovodkaz"/>
          </w:rPr>
          <w:t>Úprava režimu povrchových a podzemních vod a čerpání</w:t>
        </w:r>
        <w:r w:rsidR="00376771">
          <w:rPr>
            <w:webHidden/>
          </w:rPr>
          <w:tab/>
        </w:r>
        <w:r w:rsidR="00376771">
          <w:rPr>
            <w:webHidden/>
          </w:rPr>
          <w:fldChar w:fldCharType="begin"/>
        </w:r>
        <w:r w:rsidR="00376771">
          <w:rPr>
            <w:webHidden/>
          </w:rPr>
          <w:instrText xml:space="preserve"> PAGEREF _Toc53736220 \h </w:instrText>
        </w:r>
        <w:r w:rsidR="00376771">
          <w:rPr>
            <w:webHidden/>
          </w:rPr>
        </w:r>
        <w:r w:rsidR="00376771">
          <w:rPr>
            <w:webHidden/>
          </w:rPr>
          <w:fldChar w:fldCharType="separate"/>
        </w:r>
        <w:r w:rsidR="00376771">
          <w:rPr>
            <w:webHidden/>
          </w:rPr>
          <w:t>8</w:t>
        </w:r>
        <w:r w:rsidR="00376771">
          <w:rPr>
            <w:webHidden/>
          </w:rPr>
          <w:fldChar w:fldCharType="end"/>
        </w:r>
      </w:hyperlink>
    </w:p>
    <w:p w14:paraId="3641C1B8" w14:textId="6B966AFA" w:rsidR="00376771" w:rsidRDefault="006507E3">
      <w:pPr>
        <w:pStyle w:val="Obsah2"/>
        <w:rPr>
          <w:rFonts w:asciiTheme="minorHAnsi" w:eastAsiaTheme="minorEastAsia" w:hAnsiTheme="minorHAnsi" w:cstheme="minorBidi"/>
          <w:szCs w:val="22"/>
        </w:rPr>
      </w:pPr>
      <w:hyperlink w:anchor="_Toc53736221" w:history="1">
        <w:r w:rsidR="00376771" w:rsidRPr="00891345">
          <w:rPr>
            <w:rStyle w:val="Hypertextovodkaz"/>
          </w:rPr>
          <w:t>3.9</w:t>
        </w:r>
        <w:r w:rsidR="00376771">
          <w:rPr>
            <w:rFonts w:asciiTheme="minorHAnsi" w:eastAsiaTheme="minorEastAsia" w:hAnsiTheme="minorHAnsi" w:cstheme="minorBidi"/>
            <w:szCs w:val="22"/>
          </w:rPr>
          <w:tab/>
        </w:r>
        <w:r w:rsidR="00376771" w:rsidRPr="00891345">
          <w:rPr>
            <w:rStyle w:val="Hypertextovodkaz"/>
          </w:rPr>
          <w:t>Rušení stávajících stok a objektů</w:t>
        </w:r>
        <w:r w:rsidR="00376771">
          <w:rPr>
            <w:webHidden/>
          </w:rPr>
          <w:tab/>
        </w:r>
        <w:r w:rsidR="00376771">
          <w:rPr>
            <w:webHidden/>
          </w:rPr>
          <w:fldChar w:fldCharType="begin"/>
        </w:r>
        <w:r w:rsidR="00376771">
          <w:rPr>
            <w:webHidden/>
          </w:rPr>
          <w:instrText xml:space="preserve"> PAGEREF _Toc53736221 \h </w:instrText>
        </w:r>
        <w:r w:rsidR="00376771">
          <w:rPr>
            <w:webHidden/>
          </w:rPr>
        </w:r>
        <w:r w:rsidR="00376771">
          <w:rPr>
            <w:webHidden/>
          </w:rPr>
          <w:fldChar w:fldCharType="separate"/>
        </w:r>
        <w:r w:rsidR="00376771">
          <w:rPr>
            <w:webHidden/>
          </w:rPr>
          <w:t>8</w:t>
        </w:r>
        <w:r w:rsidR="00376771">
          <w:rPr>
            <w:webHidden/>
          </w:rPr>
          <w:fldChar w:fldCharType="end"/>
        </w:r>
      </w:hyperlink>
    </w:p>
    <w:p w14:paraId="13B17DEC" w14:textId="13E6FE42" w:rsidR="00376771" w:rsidRDefault="006507E3">
      <w:pPr>
        <w:pStyle w:val="Obsah3"/>
        <w:tabs>
          <w:tab w:val="left" w:pos="1440"/>
          <w:tab w:val="right" w:leader="dot" w:pos="9627"/>
        </w:tabs>
        <w:rPr>
          <w:rFonts w:asciiTheme="minorHAnsi" w:eastAsiaTheme="minorEastAsia" w:hAnsiTheme="minorHAnsi" w:cstheme="minorBidi"/>
          <w:noProof/>
          <w:szCs w:val="22"/>
        </w:rPr>
      </w:pPr>
      <w:hyperlink w:anchor="_Toc53736222" w:history="1">
        <w:r w:rsidR="00376771" w:rsidRPr="00891345">
          <w:rPr>
            <w:rStyle w:val="Hypertextovodkaz"/>
            <w:noProof/>
          </w:rPr>
          <w:t>3.9.1</w:t>
        </w:r>
        <w:r w:rsidR="00376771">
          <w:rPr>
            <w:rFonts w:asciiTheme="minorHAnsi" w:eastAsiaTheme="minorEastAsia" w:hAnsiTheme="minorHAnsi" w:cstheme="minorBidi"/>
            <w:noProof/>
            <w:szCs w:val="22"/>
          </w:rPr>
          <w:tab/>
        </w:r>
        <w:r w:rsidR="00376771" w:rsidRPr="00891345">
          <w:rPr>
            <w:rStyle w:val="Hypertextovodkaz"/>
            <w:noProof/>
          </w:rPr>
          <w:t>Likvidované stoky</w:t>
        </w:r>
        <w:r w:rsidR="00376771">
          <w:rPr>
            <w:noProof/>
            <w:webHidden/>
          </w:rPr>
          <w:tab/>
        </w:r>
        <w:r w:rsidR="00376771">
          <w:rPr>
            <w:noProof/>
            <w:webHidden/>
          </w:rPr>
          <w:fldChar w:fldCharType="begin"/>
        </w:r>
        <w:r w:rsidR="00376771">
          <w:rPr>
            <w:noProof/>
            <w:webHidden/>
          </w:rPr>
          <w:instrText xml:space="preserve"> PAGEREF _Toc53736222 \h </w:instrText>
        </w:r>
        <w:r w:rsidR="00376771">
          <w:rPr>
            <w:noProof/>
            <w:webHidden/>
          </w:rPr>
        </w:r>
        <w:r w:rsidR="00376771">
          <w:rPr>
            <w:noProof/>
            <w:webHidden/>
          </w:rPr>
          <w:fldChar w:fldCharType="separate"/>
        </w:r>
        <w:r w:rsidR="00376771">
          <w:rPr>
            <w:noProof/>
            <w:webHidden/>
          </w:rPr>
          <w:t>8</w:t>
        </w:r>
        <w:r w:rsidR="00376771">
          <w:rPr>
            <w:noProof/>
            <w:webHidden/>
          </w:rPr>
          <w:fldChar w:fldCharType="end"/>
        </w:r>
      </w:hyperlink>
    </w:p>
    <w:p w14:paraId="1B38848E" w14:textId="7BDF376F" w:rsidR="00376771" w:rsidRDefault="006507E3">
      <w:pPr>
        <w:pStyle w:val="Obsah3"/>
        <w:tabs>
          <w:tab w:val="left" w:pos="1440"/>
          <w:tab w:val="right" w:leader="dot" w:pos="9627"/>
        </w:tabs>
        <w:rPr>
          <w:rFonts w:asciiTheme="minorHAnsi" w:eastAsiaTheme="minorEastAsia" w:hAnsiTheme="minorHAnsi" w:cstheme="minorBidi"/>
          <w:noProof/>
          <w:szCs w:val="22"/>
        </w:rPr>
      </w:pPr>
      <w:hyperlink w:anchor="_Toc53736223" w:history="1">
        <w:r w:rsidR="00376771" w:rsidRPr="00891345">
          <w:rPr>
            <w:rStyle w:val="Hypertextovodkaz"/>
            <w:noProof/>
          </w:rPr>
          <w:t>3.9.2</w:t>
        </w:r>
        <w:r w:rsidR="00376771">
          <w:rPr>
            <w:rFonts w:asciiTheme="minorHAnsi" w:eastAsiaTheme="minorEastAsia" w:hAnsiTheme="minorHAnsi" w:cstheme="minorBidi"/>
            <w:noProof/>
            <w:szCs w:val="22"/>
          </w:rPr>
          <w:tab/>
        </w:r>
        <w:r w:rsidR="00376771" w:rsidRPr="00891345">
          <w:rPr>
            <w:rStyle w:val="Hypertextovodkaz"/>
            <w:noProof/>
          </w:rPr>
          <w:t>Likvidované objekty</w:t>
        </w:r>
        <w:r w:rsidR="00376771">
          <w:rPr>
            <w:noProof/>
            <w:webHidden/>
          </w:rPr>
          <w:tab/>
        </w:r>
        <w:r w:rsidR="00376771">
          <w:rPr>
            <w:noProof/>
            <w:webHidden/>
          </w:rPr>
          <w:fldChar w:fldCharType="begin"/>
        </w:r>
        <w:r w:rsidR="00376771">
          <w:rPr>
            <w:noProof/>
            <w:webHidden/>
          </w:rPr>
          <w:instrText xml:space="preserve"> PAGEREF _Toc53736223 \h </w:instrText>
        </w:r>
        <w:r w:rsidR="00376771">
          <w:rPr>
            <w:noProof/>
            <w:webHidden/>
          </w:rPr>
        </w:r>
        <w:r w:rsidR="00376771">
          <w:rPr>
            <w:noProof/>
            <w:webHidden/>
          </w:rPr>
          <w:fldChar w:fldCharType="separate"/>
        </w:r>
        <w:r w:rsidR="00376771">
          <w:rPr>
            <w:noProof/>
            <w:webHidden/>
          </w:rPr>
          <w:t>9</w:t>
        </w:r>
        <w:r w:rsidR="00376771">
          <w:rPr>
            <w:noProof/>
            <w:webHidden/>
          </w:rPr>
          <w:fldChar w:fldCharType="end"/>
        </w:r>
      </w:hyperlink>
    </w:p>
    <w:p w14:paraId="6241E971" w14:textId="717AB99D" w:rsidR="00376771" w:rsidRDefault="006507E3">
      <w:pPr>
        <w:pStyle w:val="Obsah2"/>
        <w:rPr>
          <w:rFonts w:asciiTheme="minorHAnsi" w:eastAsiaTheme="minorEastAsia" w:hAnsiTheme="minorHAnsi" w:cstheme="minorBidi"/>
          <w:szCs w:val="22"/>
        </w:rPr>
      </w:pPr>
      <w:hyperlink w:anchor="_Toc53736224" w:history="1">
        <w:r w:rsidR="00376771" w:rsidRPr="00891345">
          <w:rPr>
            <w:rStyle w:val="Hypertextovodkaz"/>
          </w:rPr>
          <w:t>3.10</w:t>
        </w:r>
        <w:r w:rsidR="00376771">
          <w:rPr>
            <w:rFonts w:asciiTheme="minorHAnsi" w:eastAsiaTheme="minorEastAsia" w:hAnsiTheme="minorHAnsi" w:cstheme="minorBidi"/>
            <w:szCs w:val="22"/>
          </w:rPr>
          <w:tab/>
        </w:r>
        <w:r w:rsidR="00376771" w:rsidRPr="00891345">
          <w:rPr>
            <w:rStyle w:val="Hypertextovodkaz"/>
          </w:rPr>
          <w:t>Zvláštní požadavky na postup stavebních prací</w:t>
        </w:r>
        <w:r w:rsidR="00376771">
          <w:rPr>
            <w:webHidden/>
          </w:rPr>
          <w:tab/>
        </w:r>
        <w:r w:rsidR="00376771">
          <w:rPr>
            <w:webHidden/>
          </w:rPr>
          <w:fldChar w:fldCharType="begin"/>
        </w:r>
        <w:r w:rsidR="00376771">
          <w:rPr>
            <w:webHidden/>
          </w:rPr>
          <w:instrText xml:space="preserve"> PAGEREF _Toc53736224 \h </w:instrText>
        </w:r>
        <w:r w:rsidR="00376771">
          <w:rPr>
            <w:webHidden/>
          </w:rPr>
        </w:r>
        <w:r w:rsidR="00376771">
          <w:rPr>
            <w:webHidden/>
          </w:rPr>
          <w:fldChar w:fldCharType="separate"/>
        </w:r>
        <w:r w:rsidR="00376771">
          <w:rPr>
            <w:webHidden/>
          </w:rPr>
          <w:t>9</w:t>
        </w:r>
        <w:r w:rsidR="00376771">
          <w:rPr>
            <w:webHidden/>
          </w:rPr>
          <w:fldChar w:fldCharType="end"/>
        </w:r>
      </w:hyperlink>
    </w:p>
    <w:p w14:paraId="15A57430" w14:textId="1B44854A" w:rsidR="00376771" w:rsidRDefault="006507E3">
      <w:pPr>
        <w:pStyle w:val="Obsah2"/>
        <w:rPr>
          <w:rFonts w:asciiTheme="minorHAnsi" w:eastAsiaTheme="minorEastAsia" w:hAnsiTheme="minorHAnsi" w:cstheme="minorBidi"/>
          <w:szCs w:val="22"/>
        </w:rPr>
      </w:pPr>
      <w:hyperlink w:anchor="_Toc53736225" w:history="1">
        <w:r w:rsidR="00376771" w:rsidRPr="00891345">
          <w:rPr>
            <w:rStyle w:val="Hypertextovodkaz"/>
          </w:rPr>
          <w:t>3.11</w:t>
        </w:r>
        <w:r w:rsidR="00376771">
          <w:rPr>
            <w:rFonts w:asciiTheme="minorHAnsi" w:eastAsiaTheme="minorEastAsia" w:hAnsiTheme="minorHAnsi" w:cstheme="minorBidi"/>
            <w:szCs w:val="22"/>
          </w:rPr>
          <w:tab/>
        </w:r>
        <w:r w:rsidR="00376771" w:rsidRPr="00891345">
          <w:rPr>
            <w:rStyle w:val="Hypertextovodkaz"/>
          </w:rPr>
          <w:t>Bezpečnost a ochrana zdraví při práci</w:t>
        </w:r>
        <w:r w:rsidR="00376771">
          <w:rPr>
            <w:webHidden/>
          </w:rPr>
          <w:tab/>
        </w:r>
        <w:r w:rsidR="00376771">
          <w:rPr>
            <w:webHidden/>
          </w:rPr>
          <w:fldChar w:fldCharType="begin"/>
        </w:r>
        <w:r w:rsidR="00376771">
          <w:rPr>
            <w:webHidden/>
          </w:rPr>
          <w:instrText xml:space="preserve"> PAGEREF _Toc53736225 \h </w:instrText>
        </w:r>
        <w:r w:rsidR="00376771">
          <w:rPr>
            <w:webHidden/>
          </w:rPr>
        </w:r>
        <w:r w:rsidR="00376771">
          <w:rPr>
            <w:webHidden/>
          </w:rPr>
          <w:fldChar w:fldCharType="separate"/>
        </w:r>
        <w:r w:rsidR="00376771">
          <w:rPr>
            <w:webHidden/>
          </w:rPr>
          <w:t>10</w:t>
        </w:r>
        <w:r w:rsidR="00376771">
          <w:rPr>
            <w:webHidden/>
          </w:rPr>
          <w:fldChar w:fldCharType="end"/>
        </w:r>
      </w:hyperlink>
    </w:p>
    <w:p w14:paraId="07670AA4" w14:textId="389DDD38" w:rsidR="00376771" w:rsidRDefault="006507E3">
      <w:pPr>
        <w:pStyle w:val="Obsah1"/>
        <w:tabs>
          <w:tab w:val="right" w:leader="dot" w:pos="9627"/>
        </w:tabs>
        <w:rPr>
          <w:rFonts w:asciiTheme="minorHAnsi" w:eastAsiaTheme="minorEastAsia" w:hAnsiTheme="minorHAnsi" w:cstheme="minorBidi"/>
          <w:b w:val="0"/>
          <w:bCs w:val="0"/>
          <w:noProof/>
          <w:color w:val="auto"/>
          <w:szCs w:val="22"/>
        </w:rPr>
      </w:pPr>
      <w:hyperlink w:anchor="_Toc53736226" w:history="1">
        <w:r w:rsidR="00376771" w:rsidRPr="00891345">
          <w:rPr>
            <w:rStyle w:val="Hypertextovodkaz"/>
            <w:noProof/>
          </w:rPr>
          <w:t>4</w:t>
        </w:r>
        <w:r w:rsidR="00376771">
          <w:rPr>
            <w:rFonts w:asciiTheme="minorHAnsi" w:eastAsiaTheme="minorEastAsia" w:hAnsiTheme="minorHAnsi" w:cstheme="minorBidi"/>
            <w:b w:val="0"/>
            <w:bCs w:val="0"/>
            <w:noProof/>
            <w:color w:val="auto"/>
            <w:szCs w:val="22"/>
          </w:rPr>
          <w:tab/>
        </w:r>
        <w:r w:rsidR="00376771" w:rsidRPr="00891345">
          <w:rPr>
            <w:rStyle w:val="Hypertextovodkaz"/>
            <w:noProof/>
          </w:rPr>
          <w:t>Věcné a časové vazby</w:t>
        </w:r>
        <w:r w:rsidR="00376771">
          <w:rPr>
            <w:noProof/>
            <w:webHidden/>
          </w:rPr>
          <w:tab/>
        </w:r>
        <w:r w:rsidR="00376771">
          <w:rPr>
            <w:noProof/>
            <w:webHidden/>
          </w:rPr>
          <w:fldChar w:fldCharType="begin"/>
        </w:r>
        <w:r w:rsidR="00376771">
          <w:rPr>
            <w:noProof/>
            <w:webHidden/>
          </w:rPr>
          <w:instrText xml:space="preserve"> PAGEREF _Toc53736226 \h </w:instrText>
        </w:r>
        <w:r w:rsidR="00376771">
          <w:rPr>
            <w:noProof/>
            <w:webHidden/>
          </w:rPr>
        </w:r>
        <w:r w:rsidR="00376771">
          <w:rPr>
            <w:noProof/>
            <w:webHidden/>
          </w:rPr>
          <w:fldChar w:fldCharType="separate"/>
        </w:r>
        <w:r w:rsidR="00376771">
          <w:rPr>
            <w:noProof/>
            <w:webHidden/>
          </w:rPr>
          <w:t>10</w:t>
        </w:r>
        <w:r w:rsidR="00376771">
          <w:rPr>
            <w:noProof/>
            <w:webHidden/>
          </w:rPr>
          <w:fldChar w:fldCharType="end"/>
        </w:r>
      </w:hyperlink>
    </w:p>
    <w:p w14:paraId="170FE7B5" w14:textId="7A745AC1" w:rsidR="00376771" w:rsidRDefault="006507E3">
      <w:pPr>
        <w:pStyle w:val="Obsah2"/>
        <w:rPr>
          <w:rFonts w:asciiTheme="minorHAnsi" w:eastAsiaTheme="minorEastAsia" w:hAnsiTheme="minorHAnsi" w:cstheme="minorBidi"/>
          <w:szCs w:val="22"/>
        </w:rPr>
      </w:pPr>
      <w:hyperlink w:anchor="_Toc53736227" w:history="1">
        <w:r w:rsidR="00376771" w:rsidRPr="00891345">
          <w:rPr>
            <w:rStyle w:val="Hypertextovodkaz"/>
          </w:rPr>
          <w:t>4.1</w:t>
        </w:r>
        <w:r w:rsidR="00376771">
          <w:rPr>
            <w:rFonts w:asciiTheme="minorHAnsi" w:eastAsiaTheme="minorEastAsia" w:hAnsiTheme="minorHAnsi" w:cstheme="minorBidi"/>
            <w:szCs w:val="22"/>
          </w:rPr>
          <w:tab/>
        </w:r>
        <w:r w:rsidR="00376771" w:rsidRPr="00891345">
          <w:rPr>
            <w:rStyle w:val="Hypertextovodkaz"/>
          </w:rPr>
          <w:t>Přeložky podzemních sítí</w:t>
        </w:r>
        <w:r w:rsidR="00376771">
          <w:rPr>
            <w:webHidden/>
          </w:rPr>
          <w:tab/>
        </w:r>
        <w:r w:rsidR="00376771">
          <w:rPr>
            <w:webHidden/>
          </w:rPr>
          <w:fldChar w:fldCharType="begin"/>
        </w:r>
        <w:r w:rsidR="00376771">
          <w:rPr>
            <w:webHidden/>
          </w:rPr>
          <w:instrText xml:space="preserve"> PAGEREF _Toc53736227 \h </w:instrText>
        </w:r>
        <w:r w:rsidR="00376771">
          <w:rPr>
            <w:webHidden/>
          </w:rPr>
        </w:r>
        <w:r w:rsidR="00376771">
          <w:rPr>
            <w:webHidden/>
          </w:rPr>
          <w:fldChar w:fldCharType="separate"/>
        </w:r>
        <w:r w:rsidR="00376771">
          <w:rPr>
            <w:webHidden/>
          </w:rPr>
          <w:t>10</w:t>
        </w:r>
        <w:r w:rsidR="00376771">
          <w:rPr>
            <w:webHidden/>
          </w:rPr>
          <w:fldChar w:fldCharType="end"/>
        </w:r>
      </w:hyperlink>
    </w:p>
    <w:p w14:paraId="5838D216" w14:textId="62E389DC" w:rsidR="00376771" w:rsidRDefault="006507E3">
      <w:pPr>
        <w:pStyle w:val="Obsah2"/>
        <w:rPr>
          <w:rFonts w:asciiTheme="minorHAnsi" w:eastAsiaTheme="minorEastAsia" w:hAnsiTheme="minorHAnsi" w:cstheme="minorBidi"/>
          <w:szCs w:val="22"/>
        </w:rPr>
      </w:pPr>
      <w:hyperlink w:anchor="_Toc53736228" w:history="1">
        <w:r w:rsidR="00376771" w:rsidRPr="00891345">
          <w:rPr>
            <w:rStyle w:val="Hypertextovodkaz"/>
          </w:rPr>
          <w:t>4.2</w:t>
        </w:r>
        <w:r w:rsidR="00376771">
          <w:rPr>
            <w:rFonts w:asciiTheme="minorHAnsi" w:eastAsiaTheme="minorEastAsia" w:hAnsiTheme="minorHAnsi" w:cstheme="minorBidi"/>
            <w:szCs w:val="22"/>
          </w:rPr>
          <w:tab/>
        </w:r>
        <w:r w:rsidR="00376771" w:rsidRPr="00891345">
          <w:rPr>
            <w:rStyle w:val="Hypertextovodkaz"/>
          </w:rPr>
          <w:t>Dopravní omezení</w:t>
        </w:r>
        <w:r w:rsidR="00376771">
          <w:rPr>
            <w:webHidden/>
          </w:rPr>
          <w:tab/>
        </w:r>
        <w:r w:rsidR="00376771">
          <w:rPr>
            <w:webHidden/>
          </w:rPr>
          <w:fldChar w:fldCharType="begin"/>
        </w:r>
        <w:r w:rsidR="00376771">
          <w:rPr>
            <w:webHidden/>
          </w:rPr>
          <w:instrText xml:space="preserve"> PAGEREF _Toc53736228 \h </w:instrText>
        </w:r>
        <w:r w:rsidR="00376771">
          <w:rPr>
            <w:webHidden/>
          </w:rPr>
        </w:r>
        <w:r w:rsidR="00376771">
          <w:rPr>
            <w:webHidden/>
          </w:rPr>
          <w:fldChar w:fldCharType="separate"/>
        </w:r>
        <w:r w:rsidR="00376771">
          <w:rPr>
            <w:webHidden/>
          </w:rPr>
          <w:t>10</w:t>
        </w:r>
        <w:r w:rsidR="00376771">
          <w:rPr>
            <w:webHidden/>
          </w:rPr>
          <w:fldChar w:fldCharType="end"/>
        </w:r>
      </w:hyperlink>
    </w:p>
    <w:p w14:paraId="16E06CD6" w14:textId="2272080E" w:rsidR="00376771" w:rsidRDefault="006507E3">
      <w:pPr>
        <w:pStyle w:val="Obsah2"/>
        <w:rPr>
          <w:rFonts w:asciiTheme="minorHAnsi" w:eastAsiaTheme="minorEastAsia" w:hAnsiTheme="minorHAnsi" w:cstheme="minorBidi"/>
          <w:szCs w:val="22"/>
        </w:rPr>
      </w:pPr>
      <w:hyperlink w:anchor="_Toc53736229" w:history="1">
        <w:r w:rsidR="00376771" w:rsidRPr="00891345">
          <w:rPr>
            <w:rStyle w:val="Hypertextovodkaz"/>
          </w:rPr>
          <w:t>4.3</w:t>
        </w:r>
        <w:r w:rsidR="00376771">
          <w:rPr>
            <w:rFonts w:asciiTheme="minorHAnsi" w:eastAsiaTheme="minorEastAsia" w:hAnsiTheme="minorHAnsi" w:cstheme="minorBidi"/>
            <w:szCs w:val="22"/>
          </w:rPr>
          <w:tab/>
        </w:r>
        <w:r w:rsidR="00376771" w:rsidRPr="00891345">
          <w:rPr>
            <w:rStyle w:val="Hypertextovodkaz"/>
          </w:rPr>
          <w:t>Všeobecně</w:t>
        </w:r>
        <w:r w:rsidR="00376771">
          <w:rPr>
            <w:webHidden/>
          </w:rPr>
          <w:tab/>
        </w:r>
        <w:r w:rsidR="00376771">
          <w:rPr>
            <w:webHidden/>
          </w:rPr>
          <w:fldChar w:fldCharType="begin"/>
        </w:r>
        <w:r w:rsidR="00376771">
          <w:rPr>
            <w:webHidden/>
          </w:rPr>
          <w:instrText xml:space="preserve"> PAGEREF _Toc53736229 \h </w:instrText>
        </w:r>
        <w:r w:rsidR="00376771">
          <w:rPr>
            <w:webHidden/>
          </w:rPr>
        </w:r>
        <w:r w:rsidR="00376771">
          <w:rPr>
            <w:webHidden/>
          </w:rPr>
          <w:fldChar w:fldCharType="separate"/>
        </w:r>
        <w:r w:rsidR="00376771">
          <w:rPr>
            <w:webHidden/>
          </w:rPr>
          <w:t>10</w:t>
        </w:r>
        <w:r w:rsidR="00376771">
          <w:rPr>
            <w:webHidden/>
          </w:rPr>
          <w:fldChar w:fldCharType="end"/>
        </w:r>
      </w:hyperlink>
    </w:p>
    <w:p w14:paraId="3ABC1539" w14:textId="5560284D" w:rsidR="00376771" w:rsidRDefault="006507E3">
      <w:pPr>
        <w:pStyle w:val="Obsah2"/>
        <w:rPr>
          <w:rFonts w:asciiTheme="minorHAnsi" w:eastAsiaTheme="minorEastAsia" w:hAnsiTheme="minorHAnsi" w:cstheme="minorBidi"/>
          <w:szCs w:val="22"/>
        </w:rPr>
      </w:pPr>
      <w:hyperlink w:anchor="_Toc53736230" w:history="1">
        <w:r w:rsidR="00376771" w:rsidRPr="00891345">
          <w:rPr>
            <w:rStyle w:val="Hypertextovodkaz"/>
          </w:rPr>
          <w:t>4.4</w:t>
        </w:r>
        <w:r w:rsidR="00376771">
          <w:rPr>
            <w:rFonts w:asciiTheme="minorHAnsi" w:eastAsiaTheme="minorEastAsia" w:hAnsiTheme="minorHAnsi" w:cstheme="minorBidi"/>
            <w:szCs w:val="22"/>
          </w:rPr>
          <w:tab/>
        </w:r>
        <w:r w:rsidR="00376771" w:rsidRPr="00891345">
          <w:rPr>
            <w:rStyle w:val="Hypertextovodkaz"/>
          </w:rPr>
          <w:t>Příprava pro výstavbu</w:t>
        </w:r>
        <w:r w:rsidR="00376771">
          <w:rPr>
            <w:webHidden/>
          </w:rPr>
          <w:tab/>
        </w:r>
        <w:r w:rsidR="00376771">
          <w:rPr>
            <w:webHidden/>
          </w:rPr>
          <w:fldChar w:fldCharType="begin"/>
        </w:r>
        <w:r w:rsidR="00376771">
          <w:rPr>
            <w:webHidden/>
          </w:rPr>
          <w:instrText xml:space="preserve"> PAGEREF _Toc53736230 \h </w:instrText>
        </w:r>
        <w:r w:rsidR="00376771">
          <w:rPr>
            <w:webHidden/>
          </w:rPr>
        </w:r>
        <w:r w:rsidR="00376771">
          <w:rPr>
            <w:webHidden/>
          </w:rPr>
          <w:fldChar w:fldCharType="separate"/>
        </w:r>
        <w:r w:rsidR="00376771">
          <w:rPr>
            <w:webHidden/>
          </w:rPr>
          <w:t>11</w:t>
        </w:r>
        <w:r w:rsidR="00376771">
          <w:rPr>
            <w:webHidden/>
          </w:rPr>
          <w:fldChar w:fldCharType="end"/>
        </w:r>
      </w:hyperlink>
    </w:p>
    <w:p w14:paraId="5C87107C" w14:textId="7328550C" w:rsidR="00376771" w:rsidRDefault="006507E3">
      <w:pPr>
        <w:pStyle w:val="Obsah1"/>
        <w:tabs>
          <w:tab w:val="right" w:leader="dot" w:pos="9627"/>
        </w:tabs>
        <w:rPr>
          <w:rFonts w:asciiTheme="minorHAnsi" w:eastAsiaTheme="minorEastAsia" w:hAnsiTheme="minorHAnsi" w:cstheme="minorBidi"/>
          <w:b w:val="0"/>
          <w:bCs w:val="0"/>
          <w:noProof/>
          <w:color w:val="auto"/>
          <w:szCs w:val="22"/>
        </w:rPr>
      </w:pPr>
      <w:hyperlink w:anchor="_Toc53736231" w:history="1">
        <w:r w:rsidR="00376771" w:rsidRPr="00891345">
          <w:rPr>
            <w:rStyle w:val="Hypertextovodkaz"/>
            <w:noProof/>
          </w:rPr>
          <w:t>5</w:t>
        </w:r>
        <w:r w:rsidR="00376771">
          <w:rPr>
            <w:rFonts w:asciiTheme="minorHAnsi" w:eastAsiaTheme="minorEastAsia" w:hAnsiTheme="minorHAnsi" w:cstheme="minorBidi"/>
            <w:b w:val="0"/>
            <w:bCs w:val="0"/>
            <w:noProof/>
            <w:color w:val="auto"/>
            <w:szCs w:val="22"/>
          </w:rPr>
          <w:tab/>
        </w:r>
        <w:r w:rsidR="00376771" w:rsidRPr="00891345">
          <w:rPr>
            <w:rStyle w:val="Hypertextovodkaz"/>
            <w:noProof/>
          </w:rPr>
          <w:t>Úprava ploch, oplocení, veřejná zeleň</w:t>
        </w:r>
        <w:r w:rsidR="00376771">
          <w:rPr>
            <w:noProof/>
            <w:webHidden/>
          </w:rPr>
          <w:tab/>
        </w:r>
        <w:r w:rsidR="00376771">
          <w:rPr>
            <w:noProof/>
            <w:webHidden/>
          </w:rPr>
          <w:fldChar w:fldCharType="begin"/>
        </w:r>
        <w:r w:rsidR="00376771">
          <w:rPr>
            <w:noProof/>
            <w:webHidden/>
          </w:rPr>
          <w:instrText xml:space="preserve"> PAGEREF _Toc53736231 \h </w:instrText>
        </w:r>
        <w:r w:rsidR="00376771">
          <w:rPr>
            <w:noProof/>
            <w:webHidden/>
          </w:rPr>
        </w:r>
        <w:r w:rsidR="00376771">
          <w:rPr>
            <w:noProof/>
            <w:webHidden/>
          </w:rPr>
          <w:fldChar w:fldCharType="separate"/>
        </w:r>
        <w:r w:rsidR="00376771">
          <w:rPr>
            <w:noProof/>
            <w:webHidden/>
          </w:rPr>
          <w:t>11</w:t>
        </w:r>
        <w:r w:rsidR="00376771">
          <w:rPr>
            <w:noProof/>
            <w:webHidden/>
          </w:rPr>
          <w:fldChar w:fldCharType="end"/>
        </w:r>
      </w:hyperlink>
    </w:p>
    <w:p w14:paraId="44904AA6" w14:textId="3AFD441A" w:rsidR="00376771" w:rsidRDefault="006507E3">
      <w:pPr>
        <w:pStyle w:val="Obsah1"/>
        <w:tabs>
          <w:tab w:val="right" w:leader="dot" w:pos="9627"/>
        </w:tabs>
        <w:rPr>
          <w:rFonts w:asciiTheme="minorHAnsi" w:eastAsiaTheme="minorEastAsia" w:hAnsiTheme="minorHAnsi" w:cstheme="minorBidi"/>
          <w:b w:val="0"/>
          <w:bCs w:val="0"/>
          <w:noProof/>
          <w:color w:val="auto"/>
          <w:szCs w:val="22"/>
        </w:rPr>
      </w:pPr>
      <w:hyperlink w:anchor="_Toc53736232" w:history="1">
        <w:r w:rsidR="00376771" w:rsidRPr="00891345">
          <w:rPr>
            <w:rStyle w:val="Hypertextovodkaz"/>
            <w:noProof/>
          </w:rPr>
          <w:t>6</w:t>
        </w:r>
        <w:r w:rsidR="00376771">
          <w:rPr>
            <w:rFonts w:asciiTheme="minorHAnsi" w:eastAsiaTheme="minorEastAsia" w:hAnsiTheme="minorHAnsi" w:cstheme="minorBidi"/>
            <w:b w:val="0"/>
            <w:bCs w:val="0"/>
            <w:noProof/>
            <w:color w:val="auto"/>
            <w:szCs w:val="22"/>
          </w:rPr>
          <w:tab/>
        </w:r>
        <w:r w:rsidR="00376771" w:rsidRPr="00891345">
          <w:rPr>
            <w:rStyle w:val="Hypertextovodkaz"/>
            <w:noProof/>
          </w:rPr>
          <w:t>Ochrana a péče o životní prostředí</w:t>
        </w:r>
        <w:r w:rsidR="00376771">
          <w:rPr>
            <w:noProof/>
            <w:webHidden/>
          </w:rPr>
          <w:tab/>
        </w:r>
        <w:r w:rsidR="00376771">
          <w:rPr>
            <w:noProof/>
            <w:webHidden/>
          </w:rPr>
          <w:fldChar w:fldCharType="begin"/>
        </w:r>
        <w:r w:rsidR="00376771">
          <w:rPr>
            <w:noProof/>
            <w:webHidden/>
          </w:rPr>
          <w:instrText xml:space="preserve"> PAGEREF _Toc53736232 \h </w:instrText>
        </w:r>
        <w:r w:rsidR="00376771">
          <w:rPr>
            <w:noProof/>
            <w:webHidden/>
          </w:rPr>
        </w:r>
        <w:r w:rsidR="00376771">
          <w:rPr>
            <w:noProof/>
            <w:webHidden/>
          </w:rPr>
          <w:fldChar w:fldCharType="separate"/>
        </w:r>
        <w:r w:rsidR="00376771">
          <w:rPr>
            <w:noProof/>
            <w:webHidden/>
          </w:rPr>
          <w:t>11</w:t>
        </w:r>
        <w:r w:rsidR="00376771">
          <w:rPr>
            <w:noProof/>
            <w:webHidden/>
          </w:rPr>
          <w:fldChar w:fldCharType="end"/>
        </w:r>
      </w:hyperlink>
    </w:p>
    <w:p w14:paraId="6E8CA7D4" w14:textId="738D1516" w:rsidR="00376771" w:rsidRDefault="006507E3">
      <w:pPr>
        <w:pStyle w:val="Obsah2"/>
        <w:rPr>
          <w:rFonts w:asciiTheme="minorHAnsi" w:eastAsiaTheme="minorEastAsia" w:hAnsiTheme="minorHAnsi" w:cstheme="minorBidi"/>
          <w:szCs w:val="22"/>
        </w:rPr>
      </w:pPr>
      <w:hyperlink w:anchor="_Toc53736233" w:history="1">
        <w:r w:rsidR="00376771" w:rsidRPr="00891345">
          <w:rPr>
            <w:rStyle w:val="Hypertextovodkaz"/>
          </w:rPr>
          <w:t>6.1</w:t>
        </w:r>
        <w:r w:rsidR="00376771">
          <w:rPr>
            <w:rFonts w:asciiTheme="minorHAnsi" w:eastAsiaTheme="minorEastAsia" w:hAnsiTheme="minorHAnsi" w:cstheme="minorBidi"/>
            <w:szCs w:val="22"/>
          </w:rPr>
          <w:tab/>
        </w:r>
        <w:r w:rsidR="00376771" w:rsidRPr="00891345">
          <w:rPr>
            <w:rStyle w:val="Hypertextovodkaz"/>
          </w:rPr>
          <w:t>Vliv stavby na okolní prostředí</w:t>
        </w:r>
        <w:r w:rsidR="00376771">
          <w:rPr>
            <w:webHidden/>
          </w:rPr>
          <w:tab/>
        </w:r>
        <w:r w:rsidR="00376771">
          <w:rPr>
            <w:webHidden/>
          </w:rPr>
          <w:fldChar w:fldCharType="begin"/>
        </w:r>
        <w:r w:rsidR="00376771">
          <w:rPr>
            <w:webHidden/>
          </w:rPr>
          <w:instrText xml:space="preserve"> PAGEREF _Toc53736233 \h </w:instrText>
        </w:r>
        <w:r w:rsidR="00376771">
          <w:rPr>
            <w:webHidden/>
          </w:rPr>
        </w:r>
        <w:r w:rsidR="00376771">
          <w:rPr>
            <w:webHidden/>
          </w:rPr>
          <w:fldChar w:fldCharType="separate"/>
        </w:r>
        <w:r w:rsidR="00376771">
          <w:rPr>
            <w:webHidden/>
          </w:rPr>
          <w:t>11</w:t>
        </w:r>
        <w:r w:rsidR="00376771">
          <w:rPr>
            <w:webHidden/>
          </w:rPr>
          <w:fldChar w:fldCharType="end"/>
        </w:r>
      </w:hyperlink>
    </w:p>
    <w:p w14:paraId="250F74F1" w14:textId="67D0B172" w:rsidR="00376771" w:rsidRDefault="006507E3">
      <w:pPr>
        <w:pStyle w:val="Obsah2"/>
        <w:rPr>
          <w:rFonts w:asciiTheme="minorHAnsi" w:eastAsiaTheme="minorEastAsia" w:hAnsiTheme="minorHAnsi" w:cstheme="minorBidi"/>
          <w:szCs w:val="22"/>
        </w:rPr>
      </w:pPr>
      <w:hyperlink w:anchor="_Toc53736234" w:history="1">
        <w:r w:rsidR="00376771" w:rsidRPr="00891345">
          <w:rPr>
            <w:rStyle w:val="Hypertextovodkaz"/>
          </w:rPr>
          <w:t>6.2</w:t>
        </w:r>
        <w:r w:rsidR="00376771">
          <w:rPr>
            <w:rFonts w:asciiTheme="minorHAnsi" w:eastAsiaTheme="minorEastAsia" w:hAnsiTheme="minorHAnsi" w:cstheme="minorBidi"/>
            <w:szCs w:val="22"/>
          </w:rPr>
          <w:tab/>
        </w:r>
        <w:r w:rsidR="00376771" w:rsidRPr="00891345">
          <w:rPr>
            <w:rStyle w:val="Hypertextovodkaz"/>
          </w:rPr>
          <w:t>Protipožární zabezpečení stavby</w:t>
        </w:r>
        <w:r w:rsidR="00376771">
          <w:rPr>
            <w:webHidden/>
          </w:rPr>
          <w:tab/>
        </w:r>
        <w:r w:rsidR="00376771">
          <w:rPr>
            <w:webHidden/>
          </w:rPr>
          <w:fldChar w:fldCharType="begin"/>
        </w:r>
        <w:r w:rsidR="00376771">
          <w:rPr>
            <w:webHidden/>
          </w:rPr>
          <w:instrText xml:space="preserve"> PAGEREF _Toc53736234 \h </w:instrText>
        </w:r>
        <w:r w:rsidR="00376771">
          <w:rPr>
            <w:webHidden/>
          </w:rPr>
        </w:r>
        <w:r w:rsidR="00376771">
          <w:rPr>
            <w:webHidden/>
          </w:rPr>
          <w:fldChar w:fldCharType="separate"/>
        </w:r>
        <w:r w:rsidR="00376771">
          <w:rPr>
            <w:webHidden/>
          </w:rPr>
          <w:t>11</w:t>
        </w:r>
        <w:r w:rsidR="00376771">
          <w:rPr>
            <w:webHidden/>
          </w:rPr>
          <w:fldChar w:fldCharType="end"/>
        </w:r>
      </w:hyperlink>
    </w:p>
    <w:p w14:paraId="5D05FE04" w14:textId="0C76AA17" w:rsidR="00376771" w:rsidRDefault="006507E3">
      <w:pPr>
        <w:pStyle w:val="Obsah2"/>
        <w:rPr>
          <w:rFonts w:asciiTheme="minorHAnsi" w:eastAsiaTheme="minorEastAsia" w:hAnsiTheme="minorHAnsi" w:cstheme="minorBidi"/>
          <w:szCs w:val="22"/>
        </w:rPr>
      </w:pPr>
      <w:hyperlink w:anchor="_Toc53736235" w:history="1">
        <w:r w:rsidR="00376771" w:rsidRPr="00891345">
          <w:rPr>
            <w:rStyle w:val="Hypertextovodkaz"/>
          </w:rPr>
          <w:t>6.3</w:t>
        </w:r>
        <w:r w:rsidR="00376771">
          <w:rPr>
            <w:rFonts w:asciiTheme="minorHAnsi" w:eastAsiaTheme="minorEastAsia" w:hAnsiTheme="minorHAnsi" w:cstheme="minorBidi"/>
            <w:szCs w:val="22"/>
          </w:rPr>
          <w:tab/>
        </w:r>
        <w:r w:rsidR="00376771" w:rsidRPr="00891345">
          <w:rPr>
            <w:rStyle w:val="Hypertextovodkaz"/>
          </w:rPr>
          <w:t>Řešení protikorozní ochrany</w:t>
        </w:r>
        <w:r w:rsidR="00376771">
          <w:rPr>
            <w:webHidden/>
          </w:rPr>
          <w:tab/>
        </w:r>
        <w:r w:rsidR="00376771">
          <w:rPr>
            <w:webHidden/>
          </w:rPr>
          <w:fldChar w:fldCharType="begin"/>
        </w:r>
        <w:r w:rsidR="00376771">
          <w:rPr>
            <w:webHidden/>
          </w:rPr>
          <w:instrText xml:space="preserve"> PAGEREF _Toc53736235 \h </w:instrText>
        </w:r>
        <w:r w:rsidR="00376771">
          <w:rPr>
            <w:webHidden/>
          </w:rPr>
        </w:r>
        <w:r w:rsidR="00376771">
          <w:rPr>
            <w:webHidden/>
          </w:rPr>
          <w:fldChar w:fldCharType="separate"/>
        </w:r>
        <w:r w:rsidR="00376771">
          <w:rPr>
            <w:webHidden/>
          </w:rPr>
          <w:t>12</w:t>
        </w:r>
        <w:r w:rsidR="00376771">
          <w:rPr>
            <w:webHidden/>
          </w:rPr>
          <w:fldChar w:fldCharType="end"/>
        </w:r>
      </w:hyperlink>
    </w:p>
    <w:p w14:paraId="49EECFB2" w14:textId="0E7DDBD7" w:rsidR="00376771" w:rsidRDefault="006507E3">
      <w:pPr>
        <w:pStyle w:val="Obsah2"/>
        <w:rPr>
          <w:rFonts w:asciiTheme="minorHAnsi" w:eastAsiaTheme="minorEastAsia" w:hAnsiTheme="minorHAnsi" w:cstheme="minorBidi"/>
          <w:szCs w:val="22"/>
        </w:rPr>
      </w:pPr>
      <w:hyperlink w:anchor="_Toc53736236" w:history="1">
        <w:r w:rsidR="00376771" w:rsidRPr="00891345">
          <w:rPr>
            <w:rStyle w:val="Hypertextovodkaz"/>
          </w:rPr>
          <w:t>6.4</w:t>
        </w:r>
        <w:r w:rsidR="00376771">
          <w:rPr>
            <w:rFonts w:asciiTheme="minorHAnsi" w:eastAsiaTheme="minorEastAsia" w:hAnsiTheme="minorHAnsi" w:cstheme="minorBidi"/>
            <w:szCs w:val="22"/>
          </w:rPr>
          <w:tab/>
        </w:r>
        <w:r w:rsidR="00376771" w:rsidRPr="00891345">
          <w:rPr>
            <w:rStyle w:val="Hypertextovodkaz"/>
          </w:rPr>
          <w:t>Údaje o recipientu</w:t>
        </w:r>
        <w:r w:rsidR="00376771">
          <w:rPr>
            <w:webHidden/>
          </w:rPr>
          <w:tab/>
        </w:r>
        <w:r w:rsidR="00376771">
          <w:rPr>
            <w:webHidden/>
          </w:rPr>
          <w:fldChar w:fldCharType="begin"/>
        </w:r>
        <w:r w:rsidR="00376771">
          <w:rPr>
            <w:webHidden/>
          </w:rPr>
          <w:instrText xml:space="preserve"> PAGEREF _Toc53736236 \h </w:instrText>
        </w:r>
        <w:r w:rsidR="00376771">
          <w:rPr>
            <w:webHidden/>
          </w:rPr>
        </w:r>
        <w:r w:rsidR="00376771">
          <w:rPr>
            <w:webHidden/>
          </w:rPr>
          <w:fldChar w:fldCharType="separate"/>
        </w:r>
        <w:r w:rsidR="00376771">
          <w:rPr>
            <w:webHidden/>
          </w:rPr>
          <w:t>12</w:t>
        </w:r>
        <w:r w:rsidR="00376771">
          <w:rPr>
            <w:webHidden/>
          </w:rPr>
          <w:fldChar w:fldCharType="end"/>
        </w:r>
      </w:hyperlink>
    </w:p>
    <w:p w14:paraId="69A2BD3F" w14:textId="58463BBC" w:rsidR="00376771" w:rsidRDefault="006507E3">
      <w:pPr>
        <w:pStyle w:val="Obsah2"/>
        <w:rPr>
          <w:rFonts w:asciiTheme="minorHAnsi" w:eastAsiaTheme="minorEastAsia" w:hAnsiTheme="minorHAnsi" w:cstheme="minorBidi"/>
          <w:szCs w:val="22"/>
        </w:rPr>
      </w:pPr>
      <w:hyperlink w:anchor="_Toc53736237" w:history="1">
        <w:r w:rsidR="00376771" w:rsidRPr="00891345">
          <w:rPr>
            <w:rStyle w:val="Hypertextovodkaz"/>
          </w:rPr>
          <w:t>6.5</w:t>
        </w:r>
        <w:r w:rsidR="00376771">
          <w:rPr>
            <w:rFonts w:asciiTheme="minorHAnsi" w:eastAsiaTheme="minorEastAsia" w:hAnsiTheme="minorHAnsi" w:cstheme="minorBidi"/>
            <w:szCs w:val="22"/>
          </w:rPr>
          <w:tab/>
        </w:r>
        <w:r w:rsidR="00376771" w:rsidRPr="00891345">
          <w:rPr>
            <w:rStyle w:val="Hypertextovodkaz"/>
          </w:rPr>
          <w:t>Stanovení ochranných pásem</w:t>
        </w:r>
        <w:r w:rsidR="00376771">
          <w:rPr>
            <w:webHidden/>
          </w:rPr>
          <w:tab/>
        </w:r>
        <w:r w:rsidR="00376771">
          <w:rPr>
            <w:webHidden/>
          </w:rPr>
          <w:fldChar w:fldCharType="begin"/>
        </w:r>
        <w:r w:rsidR="00376771">
          <w:rPr>
            <w:webHidden/>
          </w:rPr>
          <w:instrText xml:space="preserve"> PAGEREF _Toc53736237 \h </w:instrText>
        </w:r>
        <w:r w:rsidR="00376771">
          <w:rPr>
            <w:webHidden/>
          </w:rPr>
        </w:r>
        <w:r w:rsidR="00376771">
          <w:rPr>
            <w:webHidden/>
          </w:rPr>
          <w:fldChar w:fldCharType="separate"/>
        </w:r>
        <w:r w:rsidR="00376771">
          <w:rPr>
            <w:webHidden/>
          </w:rPr>
          <w:t>12</w:t>
        </w:r>
        <w:r w:rsidR="00376771">
          <w:rPr>
            <w:webHidden/>
          </w:rPr>
          <w:fldChar w:fldCharType="end"/>
        </w:r>
      </w:hyperlink>
    </w:p>
    <w:p w14:paraId="23431512" w14:textId="41760483" w:rsidR="00376771" w:rsidRDefault="006507E3">
      <w:pPr>
        <w:pStyle w:val="Obsah1"/>
        <w:tabs>
          <w:tab w:val="right" w:leader="dot" w:pos="9627"/>
        </w:tabs>
        <w:rPr>
          <w:rFonts w:asciiTheme="minorHAnsi" w:eastAsiaTheme="minorEastAsia" w:hAnsiTheme="minorHAnsi" w:cstheme="minorBidi"/>
          <w:b w:val="0"/>
          <w:bCs w:val="0"/>
          <w:noProof/>
          <w:color w:val="auto"/>
          <w:szCs w:val="22"/>
        </w:rPr>
      </w:pPr>
      <w:hyperlink w:anchor="_Toc53736238" w:history="1">
        <w:r w:rsidR="00376771" w:rsidRPr="00891345">
          <w:rPr>
            <w:rStyle w:val="Hypertextovodkaz"/>
            <w:noProof/>
          </w:rPr>
          <w:t>7</w:t>
        </w:r>
        <w:r w:rsidR="00376771">
          <w:rPr>
            <w:rFonts w:asciiTheme="minorHAnsi" w:eastAsiaTheme="minorEastAsia" w:hAnsiTheme="minorHAnsi" w:cstheme="minorBidi"/>
            <w:b w:val="0"/>
            <w:bCs w:val="0"/>
            <w:noProof/>
            <w:color w:val="auto"/>
            <w:szCs w:val="22"/>
          </w:rPr>
          <w:tab/>
        </w:r>
        <w:r w:rsidR="00376771" w:rsidRPr="00891345">
          <w:rPr>
            <w:rStyle w:val="Hypertextovodkaz"/>
            <w:noProof/>
          </w:rPr>
          <w:t>Vytýčení stavby</w:t>
        </w:r>
        <w:r w:rsidR="00376771">
          <w:rPr>
            <w:noProof/>
            <w:webHidden/>
          </w:rPr>
          <w:tab/>
        </w:r>
        <w:r w:rsidR="00376771">
          <w:rPr>
            <w:noProof/>
            <w:webHidden/>
          </w:rPr>
          <w:fldChar w:fldCharType="begin"/>
        </w:r>
        <w:r w:rsidR="00376771">
          <w:rPr>
            <w:noProof/>
            <w:webHidden/>
          </w:rPr>
          <w:instrText xml:space="preserve"> PAGEREF _Toc53736238 \h </w:instrText>
        </w:r>
        <w:r w:rsidR="00376771">
          <w:rPr>
            <w:noProof/>
            <w:webHidden/>
          </w:rPr>
        </w:r>
        <w:r w:rsidR="00376771">
          <w:rPr>
            <w:noProof/>
            <w:webHidden/>
          </w:rPr>
          <w:fldChar w:fldCharType="separate"/>
        </w:r>
        <w:r w:rsidR="00376771">
          <w:rPr>
            <w:noProof/>
            <w:webHidden/>
          </w:rPr>
          <w:t>12</w:t>
        </w:r>
        <w:r w:rsidR="00376771">
          <w:rPr>
            <w:noProof/>
            <w:webHidden/>
          </w:rPr>
          <w:fldChar w:fldCharType="end"/>
        </w:r>
      </w:hyperlink>
    </w:p>
    <w:p w14:paraId="5F8C1EB1" w14:textId="492293A5" w:rsidR="00376771" w:rsidRDefault="006507E3">
      <w:pPr>
        <w:pStyle w:val="Obsah1"/>
        <w:tabs>
          <w:tab w:val="right" w:leader="dot" w:pos="9627"/>
        </w:tabs>
        <w:rPr>
          <w:rFonts w:asciiTheme="minorHAnsi" w:eastAsiaTheme="minorEastAsia" w:hAnsiTheme="minorHAnsi" w:cstheme="minorBidi"/>
          <w:b w:val="0"/>
          <w:bCs w:val="0"/>
          <w:noProof/>
          <w:color w:val="auto"/>
          <w:szCs w:val="22"/>
        </w:rPr>
      </w:pPr>
      <w:hyperlink w:anchor="_Toc53736239" w:history="1">
        <w:r w:rsidR="00376771" w:rsidRPr="00891345">
          <w:rPr>
            <w:rStyle w:val="Hypertextovodkaz"/>
            <w:noProof/>
          </w:rPr>
          <w:t>8</w:t>
        </w:r>
        <w:r w:rsidR="00376771">
          <w:rPr>
            <w:rFonts w:asciiTheme="minorHAnsi" w:eastAsiaTheme="minorEastAsia" w:hAnsiTheme="minorHAnsi" w:cstheme="minorBidi"/>
            <w:b w:val="0"/>
            <w:bCs w:val="0"/>
            <w:noProof/>
            <w:color w:val="auto"/>
            <w:szCs w:val="22"/>
          </w:rPr>
          <w:tab/>
        </w:r>
        <w:r w:rsidR="00376771" w:rsidRPr="00891345">
          <w:rPr>
            <w:rStyle w:val="Hypertextovodkaz"/>
            <w:noProof/>
          </w:rPr>
          <w:t>Údaje o technologické části stavby</w:t>
        </w:r>
        <w:r w:rsidR="00376771">
          <w:rPr>
            <w:noProof/>
            <w:webHidden/>
          </w:rPr>
          <w:tab/>
        </w:r>
        <w:r w:rsidR="00376771">
          <w:rPr>
            <w:noProof/>
            <w:webHidden/>
          </w:rPr>
          <w:fldChar w:fldCharType="begin"/>
        </w:r>
        <w:r w:rsidR="00376771">
          <w:rPr>
            <w:noProof/>
            <w:webHidden/>
          </w:rPr>
          <w:instrText xml:space="preserve"> PAGEREF _Toc53736239 \h </w:instrText>
        </w:r>
        <w:r w:rsidR="00376771">
          <w:rPr>
            <w:noProof/>
            <w:webHidden/>
          </w:rPr>
        </w:r>
        <w:r w:rsidR="00376771">
          <w:rPr>
            <w:noProof/>
            <w:webHidden/>
          </w:rPr>
          <w:fldChar w:fldCharType="separate"/>
        </w:r>
        <w:r w:rsidR="00376771">
          <w:rPr>
            <w:noProof/>
            <w:webHidden/>
          </w:rPr>
          <w:t>12</w:t>
        </w:r>
        <w:r w:rsidR="00376771">
          <w:rPr>
            <w:noProof/>
            <w:webHidden/>
          </w:rPr>
          <w:fldChar w:fldCharType="end"/>
        </w:r>
      </w:hyperlink>
    </w:p>
    <w:p w14:paraId="1D824D43" w14:textId="2A0ACAF2" w:rsidR="00376771" w:rsidRDefault="006507E3">
      <w:pPr>
        <w:pStyle w:val="Obsah1"/>
        <w:tabs>
          <w:tab w:val="right" w:leader="dot" w:pos="9627"/>
        </w:tabs>
        <w:rPr>
          <w:rFonts w:asciiTheme="minorHAnsi" w:eastAsiaTheme="minorEastAsia" w:hAnsiTheme="minorHAnsi" w:cstheme="minorBidi"/>
          <w:b w:val="0"/>
          <w:bCs w:val="0"/>
          <w:noProof/>
          <w:color w:val="auto"/>
          <w:szCs w:val="22"/>
        </w:rPr>
      </w:pPr>
      <w:hyperlink w:anchor="_Toc53736240" w:history="1">
        <w:r w:rsidR="00376771" w:rsidRPr="00891345">
          <w:rPr>
            <w:rStyle w:val="Hypertextovodkaz"/>
            <w:noProof/>
          </w:rPr>
          <w:t>9</w:t>
        </w:r>
        <w:r w:rsidR="00376771">
          <w:rPr>
            <w:rFonts w:asciiTheme="minorHAnsi" w:eastAsiaTheme="minorEastAsia" w:hAnsiTheme="minorHAnsi" w:cstheme="minorBidi"/>
            <w:b w:val="0"/>
            <w:bCs w:val="0"/>
            <w:noProof/>
            <w:color w:val="auto"/>
            <w:szCs w:val="22"/>
          </w:rPr>
          <w:tab/>
        </w:r>
        <w:r w:rsidR="00376771" w:rsidRPr="00891345">
          <w:rPr>
            <w:rStyle w:val="Hypertextovodkaz"/>
            <w:noProof/>
          </w:rPr>
          <w:t>Zemní práce</w:t>
        </w:r>
        <w:r w:rsidR="00376771">
          <w:rPr>
            <w:noProof/>
            <w:webHidden/>
          </w:rPr>
          <w:tab/>
        </w:r>
        <w:r w:rsidR="00376771">
          <w:rPr>
            <w:noProof/>
            <w:webHidden/>
          </w:rPr>
          <w:fldChar w:fldCharType="begin"/>
        </w:r>
        <w:r w:rsidR="00376771">
          <w:rPr>
            <w:noProof/>
            <w:webHidden/>
          </w:rPr>
          <w:instrText xml:space="preserve"> PAGEREF _Toc53736240 \h </w:instrText>
        </w:r>
        <w:r w:rsidR="00376771">
          <w:rPr>
            <w:noProof/>
            <w:webHidden/>
          </w:rPr>
        </w:r>
        <w:r w:rsidR="00376771">
          <w:rPr>
            <w:noProof/>
            <w:webHidden/>
          </w:rPr>
          <w:fldChar w:fldCharType="separate"/>
        </w:r>
        <w:r w:rsidR="00376771">
          <w:rPr>
            <w:noProof/>
            <w:webHidden/>
          </w:rPr>
          <w:t>12</w:t>
        </w:r>
        <w:r w:rsidR="00376771">
          <w:rPr>
            <w:noProof/>
            <w:webHidden/>
          </w:rPr>
          <w:fldChar w:fldCharType="end"/>
        </w:r>
      </w:hyperlink>
    </w:p>
    <w:p w14:paraId="2ADAB877" w14:textId="70E4FA97" w:rsidR="00376771" w:rsidRDefault="006507E3">
      <w:pPr>
        <w:pStyle w:val="Obsah2"/>
        <w:rPr>
          <w:rFonts w:asciiTheme="minorHAnsi" w:eastAsiaTheme="minorEastAsia" w:hAnsiTheme="minorHAnsi" w:cstheme="minorBidi"/>
          <w:szCs w:val="22"/>
        </w:rPr>
      </w:pPr>
      <w:hyperlink w:anchor="_Toc53736241" w:history="1">
        <w:r w:rsidR="00376771" w:rsidRPr="00891345">
          <w:rPr>
            <w:rStyle w:val="Hypertextovodkaz"/>
          </w:rPr>
          <w:t>9.1</w:t>
        </w:r>
        <w:r w:rsidR="00376771">
          <w:rPr>
            <w:rFonts w:asciiTheme="minorHAnsi" w:eastAsiaTheme="minorEastAsia" w:hAnsiTheme="minorHAnsi" w:cstheme="minorBidi"/>
            <w:szCs w:val="22"/>
          </w:rPr>
          <w:tab/>
        </w:r>
        <w:r w:rsidR="00376771" w:rsidRPr="00891345">
          <w:rPr>
            <w:rStyle w:val="Hypertextovodkaz"/>
          </w:rPr>
          <w:t>STÁVAJÍCÍ SKLADBY</w:t>
        </w:r>
        <w:r w:rsidR="00376771">
          <w:rPr>
            <w:webHidden/>
          </w:rPr>
          <w:tab/>
        </w:r>
        <w:r w:rsidR="00376771">
          <w:rPr>
            <w:webHidden/>
          </w:rPr>
          <w:fldChar w:fldCharType="begin"/>
        </w:r>
        <w:r w:rsidR="00376771">
          <w:rPr>
            <w:webHidden/>
          </w:rPr>
          <w:instrText xml:space="preserve"> PAGEREF _Toc53736241 \h </w:instrText>
        </w:r>
        <w:r w:rsidR="00376771">
          <w:rPr>
            <w:webHidden/>
          </w:rPr>
        </w:r>
        <w:r w:rsidR="00376771">
          <w:rPr>
            <w:webHidden/>
          </w:rPr>
          <w:fldChar w:fldCharType="separate"/>
        </w:r>
        <w:r w:rsidR="00376771">
          <w:rPr>
            <w:webHidden/>
          </w:rPr>
          <w:t>13</w:t>
        </w:r>
        <w:r w:rsidR="00376771">
          <w:rPr>
            <w:webHidden/>
          </w:rPr>
          <w:fldChar w:fldCharType="end"/>
        </w:r>
      </w:hyperlink>
    </w:p>
    <w:p w14:paraId="23E37EC1" w14:textId="774C57AD" w:rsidR="00376771" w:rsidRDefault="006507E3">
      <w:pPr>
        <w:pStyle w:val="Obsah2"/>
        <w:rPr>
          <w:rFonts w:asciiTheme="minorHAnsi" w:eastAsiaTheme="minorEastAsia" w:hAnsiTheme="minorHAnsi" w:cstheme="minorBidi"/>
          <w:szCs w:val="22"/>
        </w:rPr>
      </w:pPr>
      <w:hyperlink w:anchor="_Toc53736242" w:history="1">
        <w:r w:rsidR="00376771" w:rsidRPr="00891345">
          <w:rPr>
            <w:rStyle w:val="Hypertextovodkaz"/>
          </w:rPr>
          <w:t>9.2</w:t>
        </w:r>
        <w:r w:rsidR="00376771">
          <w:rPr>
            <w:rFonts w:asciiTheme="minorHAnsi" w:eastAsiaTheme="minorEastAsia" w:hAnsiTheme="minorHAnsi" w:cstheme="minorBidi"/>
            <w:szCs w:val="22"/>
          </w:rPr>
          <w:tab/>
        </w:r>
        <w:r w:rsidR="00376771" w:rsidRPr="00891345">
          <w:rPr>
            <w:rStyle w:val="Hypertextovodkaz"/>
          </w:rPr>
          <w:t>Výkopy</w:t>
        </w:r>
        <w:r w:rsidR="00376771">
          <w:rPr>
            <w:webHidden/>
          </w:rPr>
          <w:tab/>
        </w:r>
        <w:r w:rsidR="00376771">
          <w:rPr>
            <w:webHidden/>
          </w:rPr>
          <w:fldChar w:fldCharType="begin"/>
        </w:r>
        <w:r w:rsidR="00376771">
          <w:rPr>
            <w:webHidden/>
          </w:rPr>
          <w:instrText xml:space="preserve"> PAGEREF _Toc53736242 \h </w:instrText>
        </w:r>
        <w:r w:rsidR="00376771">
          <w:rPr>
            <w:webHidden/>
          </w:rPr>
        </w:r>
        <w:r w:rsidR="00376771">
          <w:rPr>
            <w:webHidden/>
          </w:rPr>
          <w:fldChar w:fldCharType="separate"/>
        </w:r>
        <w:r w:rsidR="00376771">
          <w:rPr>
            <w:webHidden/>
          </w:rPr>
          <w:t>14</w:t>
        </w:r>
        <w:r w:rsidR="00376771">
          <w:rPr>
            <w:webHidden/>
          </w:rPr>
          <w:fldChar w:fldCharType="end"/>
        </w:r>
      </w:hyperlink>
    </w:p>
    <w:p w14:paraId="69827D90" w14:textId="2E0DDDBF" w:rsidR="00376771" w:rsidRDefault="006507E3">
      <w:pPr>
        <w:pStyle w:val="Obsah2"/>
        <w:rPr>
          <w:rFonts w:asciiTheme="minorHAnsi" w:eastAsiaTheme="minorEastAsia" w:hAnsiTheme="minorHAnsi" w:cstheme="minorBidi"/>
          <w:szCs w:val="22"/>
        </w:rPr>
      </w:pPr>
      <w:hyperlink w:anchor="_Toc53736243" w:history="1">
        <w:r w:rsidR="00376771" w:rsidRPr="00891345">
          <w:rPr>
            <w:rStyle w:val="Hypertextovodkaz"/>
          </w:rPr>
          <w:t>9.3</w:t>
        </w:r>
        <w:r w:rsidR="00376771">
          <w:rPr>
            <w:rFonts w:asciiTheme="minorHAnsi" w:eastAsiaTheme="minorEastAsia" w:hAnsiTheme="minorHAnsi" w:cstheme="minorBidi"/>
            <w:szCs w:val="22"/>
          </w:rPr>
          <w:tab/>
        </w:r>
        <w:r w:rsidR="00376771" w:rsidRPr="00891345">
          <w:rPr>
            <w:rStyle w:val="Hypertextovodkaz"/>
          </w:rPr>
          <w:t>Pažení rýhy</w:t>
        </w:r>
        <w:r w:rsidR="00376771">
          <w:rPr>
            <w:webHidden/>
          </w:rPr>
          <w:tab/>
        </w:r>
        <w:r w:rsidR="00376771">
          <w:rPr>
            <w:webHidden/>
          </w:rPr>
          <w:fldChar w:fldCharType="begin"/>
        </w:r>
        <w:r w:rsidR="00376771">
          <w:rPr>
            <w:webHidden/>
          </w:rPr>
          <w:instrText xml:space="preserve"> PAGEREF _Toc53736243 \h </w:instrText>
        </w:r>
        <w:r w:rsidR="00376771">
          <w:rPr>
            <w:webHidden/>
          </w:rPr>
        </w:r>
        <w:r w:rsidR="00376771">
          <w:rPr>
            <w:webHidden/>
          </w:rPr>
          <w:fldChar w:fldCharType="separate"/>
        </w:r>
        <w:r w:rsidR="00376771">
          <w:rPr>
            <w:webHidden/>
          </w:rPr>
          <w:t>14</w:t>
        </w:r>
        <w:r w:rsidR="00376771">
          <w:rPr>
            <w:webHidden/>
          </w:rPr>
          <w:fldChar w:fldCharType="end"/>
        </w:r>
      </w:hyperlink>
    </w:p>
    <w:p w14:paraId="4E17FA24" w14:textId="671434AA" w:rsidR="00376771" w:rsidRDefault="006507E3">
      <w:pPr>
        <w:pStyle w:val="Obsah2"/>
        <w:rPr>
          <w:rFonts w:asciiTheme="minorHAnsi" w:eastAsiaTheme="minorEastAsia" w:hAnsiTheme="minorHAnsi" w:cstheme="minorBidi"/>
          <w:szCs w:val="22"/>
        </w:rPr>
      </w:pPr>
      <w:hyperlink w:anchor="_Toc53736244" w:history="1">
        <w:r w:rsidR="00376771" w:rsidRPr="00891345">
          <w:rPr>
            <w:rStyle w:val="Hypertextovodkaz"/>
          </w:rPr>
          <w:t>9.4</w:t>
        </w:r>
        <w:r w:rsidR="00376771">
          <w:rPr>
            <w:rFonts w:asciiTheme="minorHAnsi" w:eastAsiaTheme="minorEastAsia" w:hAnsiTheme="minorHAnsi" w:cstheme="minorBidi"/>
            <w:szCs w:val="22"/>
          </w:rPr>
          <w:tab/>
        </w:r>
        <w:r w:rsidR="00376771" w:rsidRPr="00891345">
          <w:rPr>
            <w:rStyle w:val="Hypertextovodkaz"/>
          </w:rPr>
          <w:t>Podsypy, obsypy a zásypy</w:t>
        </w:r>
        <w:r w:rsidR="00376771">
          <w:rPr>
            <w:webHidden/>
          </w:rPr>
          <w:tab/>
        </w:r>
        <w:r w:rsidR="00376771">
          <w:rPr>
            <w:webHidden/>
          </w:rPr>
          <w:fldChar w:fldCharType="begin"/>
        </w:r>
        <w:r w:rsidR="00376771">
          <w:rPr>
            <w:webHidden/>
          </w:rPr>
          <w:instrText xml:space="preserve"> PAGEREF _Toc53736244 \h </w:instrText>
        </w:r>
        <w:r w:rsidR="00376771">
          <w:rPr>
            <w:webHidden/>
          </w:rPr>
        </w:r>
        <w:r w:rsidR="00376771">
          <w:rPr>
            <w:webHidden/>
          </w:rPr>
          <w:fldChar w:fldCharType="separate"/>
        </w:r>
        <w:r w:rsidR="00376771">
          <w:rPr>
            <w:webHidden/>
          </w:rPr>
          <w:t>14</w:t>
        </w:r>
        <w:r w:rsidR="00376771">
          <w:rPr>
            <w:webHidden/>
          </w:rPr>
          <w:fldChar w:fldCharType="end"/>
        </w:r>
      </w:hyperlink>
    </w:p>
    <w:p w14:paraId="08E42873" w14:textId="52966138" w:rsidR="00376771" w:rsidRDefault="006507E3">
      <w:pPr>
        <w:pStyle w:val="Obsah3"/>
        <w:tabs>
          <w:tab w:val="left" w:pos="1440"/>
          <w:tab w:val="right" w:leader="dot" w:pos="9627"/>
        </w:tabs>
        <w:rPr>
          <w:rFonts w:asciiTheme="minorHAnsi" w:eastAsiaTheme="minorEastAsia" w:hAnsiTheme="minorHAnsi" w:cstheme="minorBidi"/>
          <w:noProof/>
          <w:szCs w:val="22"/>
        </w:rPr>
      </w:pPr>
      <w:hyperlink w:anchor="_Toc53736245" w:history="1">
        <w:r w:rsidR="00376771" w:rsidRPr="00891345">
          <w:rPr>
            <w:rStyle w:val="Hypertextovodkaz"/>
            <w:noProof/>
          </w:rPr>
          <w:t>9.4.1</w:t>
        </w:r>
        <w:r w:rsidR="00376771">
          <w:rPr>
            <w:rFonts w:asciiTheme="minorHAnsi" w:eastAsiaTheme="minorEastAsia" w:hAnsiTheme="minorHAnsi" w:cstheme="minorBidi"/>
            <w:noProof/>
            <w:szCs w:val="22"/>
          </w:rPr>
          <w:tab/>
        </w:r>
        <w:r w:rsidR="00376771" w:rsidRPr="00891345">
          <w:rPr>
            <w:rStyle w:val="Hypertextovodkaz"/>
            <w:noProof/>
          </w:rPr>
          <w:t>Zásypy v nezpevněných plochách</w:t>
        </w:r>
        <w:r w:rsidR="00376771">
          <w:rPr>
            <w:noProof/>
            <w:webHidden/>
          </w:rPr>
          <w:tab/>
        </w:r>
        <w:r w:rsidR="00376771">
          <w:rPr>
            <w:noProof/>
            <w:webHidden/>
          </w:rPr>
          <w:fldChar w:fldCharType="begin"/>
        </w:r>
        <w:r w:rsidR="00376771">
          <w:rPr>
            <w:noProof/>
            <w:webHidden/>
          </w:rPr>
          <w:instrText xml:space="preserve"> PAGEREF _Toc53736245 \h </w:instrText>
        </w:r>
        <w:r w:rsidR="00376771">
          <w:rPr>
            <w:noProof/>
            <w:webHidden/>
          </w:rPr>
        </w:r>
        <w:r w:rsidR="00376771">
          <w:rPr>
            <w:noProof/>
            <w:webHidden/>
          </w:rPr>
          <w:fldChar w:fldCharType="separate"/>
        </w:r>
        <w:r w:rsidR="00376771">
          <w:rPr>
            <w:noProof/>
            <w:webHidden/>
          </w:rPr>
          <w:t>15</w:t>
        </w:r>
        <w:r w:rsidR="00376771">
          <w:rPr>
            <w:noProof/>
            <w:webHidden/>
          </w:rPr>
          <w:fldChar w:fldCharType="end"/>
        </w:r>
      </w:hyperlink>
    </w:p>
    <w:p w14:paraId="33F07070" w14:textId="59380302" w:rsidR="00376771" w:rsidRDefault="006507E3">
      <w:pPr>
        <w:pStyle w:val="Obsah3"/>
        <w:tabs>
          <w:tab w:val="left" w:pos="1440"/>
          <w:tab w:val="right" w:leader="dot" w:pos="9627"/>
        </w:tabs>
        <w:rPr>
          <w:rFonts w:asciiTheme="minorHAnsi" w:eastAsiaTheme="minorEastAsia" w:hAnsiTheme="minorHAnsi" w:cstheme="minorBidi"/>
          <w:noProof/>
          <w:szCs w:val="22"/>
        </w:rPr>
      </w:pPr>
      <w:hyperlink w:anchor="_Toc53736246" w:history="1">
        <w:r w:rsidR="00376771" w:rsidRPr="00891345">
          <w:rPr>
            <w:rStyle w:val="Hypertextovodkaz"/>
            <w:noProof/>
          </w:rPr>
          <w:t>9.4.2</w:t>
        </w:r>
        <w:r w:rsidR="00376771">
          <w:rPr>
            <w:rFonts w:asciiTheme="minorHAnsi" w:eastAsiaTheme="minorEastAsia" w:hAnsiTheme="minorHAnsi" w:cstheme="minorBidi"/>
            <w:noProof/>
            <w:szCs w:val="22"/>
          </w:rPr>
          <w:tab/>
        </w:r>
        <w:r w:rsidR="00376771" w:rsidRPr="00891345">
          <w:rPr>
            <w:rStyle w:val="Hypertextovodkaz"/>
            <w:noProof/>
          </w:rPr>
          <w:t>Zásypy v komunikacích</w:t>
        </w:r>
        <w:r w:rsidR="00376771">
          <w:rPr>
            <w:noProof/>
            <w:webHidden/>
          </w:rPr>
          <w:tab/>
        </w:r>
        <w:r w:rsidR="00376771">
          <w:rPr>
            <w:noProof/>
            <w:webHidden/>
          </w:rPr>
          <w:fldChar w:fldCharType="begin"/>
        </w:r>
        <w:r w:rsidR="00376771">
          <w:rPr>
            <w:noProof/>
            <w:webHidden/>
          </w:rPr>
          <w:instrText xml:space="preserve"> PAGEREF _Toc53736246 \h </w:instrText>
        </w:r>
        <w:r w:rsidR="00376771">
          <w:rPr>
            <w:noProof/>
            <w:webHidden/>
          </w:rPr>
        </w:r>
        <w:r w:rsidR="00376771">
          <w:rPr>
            <w:noProof/>
            <w:webHidden/>
          </w:rPr>
          <w:fldChar w:fldCharType="separate"/>
        </w:r>
        <w:r w:rsidR="00376771">
          <w:rPr>
            <w:noProof/>
            <w:webHidden/>
          </w:rPr>
          <w:t>15</w:t>
        </w:r>
        <w:r w:rsidR="00376771">
          <w:rPr>
            <w:noProof/>
            <w:webHidden/>
          </w:rPr>
          <w:fldChar w:fldCharType="end"/>
        </w:r>
      </w:hyperlink>
    </w:p>
    <w:p w14:paraId="2A16360E" w14:textId="079EEB44" w:rsidR="00376771" w:rsidRDefault="006507E3">
      <w:pPr>
        <w:pStyle w:val="Obsah2"/>
        <w:rPr>
          <w:rFonts w:asciiTheme="minorHAnsi" w:eastAsiaTheme="minorEastAsia" w:hAnsiTheme="minorHAnsi" w:cstheme="minorBidi"/>
          <w:szCs w:val="22"/>
        </w:rPr>
      </w:pPr>
      <w:hyperlink w:anchor="_Toc53736247" w:history="1">
        <w:r w:rsidR="00376771" w:rsidRPr="00891345">
          <w:rPr>
            <w:rStyle w:val="Hypertextovodkaz"/>
          </w:rPr>
          <w:t>9.5</w:t>
        </w:r>
        <w:r w:rsidR="00376771">
          <w:rPr>
            <w:rFonts w:asciiTheme="minorHAnsi" w:eastAsiaTheme="minorEastAsia" w:hAnsiTheme="minorHAnsi" w:cstheme="minorBidi"/>
            <w:szCs w:val="22"/>
          </w:rPr>
          <w:tab/>
        </w:r>
        <w:r w:rsidR="00376771" w:rsidRPr="00891345">
          <w:rPr>
            <w:rStyle w:val="Hypertextovodkaz"/>
          </w:rPr>
          <w:t>Hutnění</w:t>
        </w:r>
        <w:r w:rsidR="00376771">
          <w:rPr>
            <w:webHidden/>
          </w:rPr>
          <w:tab/>
        </w:r>
        <w:r w:rsidR="00376771">
          <w:rPr>
            <w:webHidden/>
          </w:rPr>
          <w:fldChar w:fldCharType="begin"/>
        </w:r>
        <w:r w:rsidR="00376771">
          <w:rPr>
            <w:webHidden/>
          </w:rPr>
          <w:instrText xml:space="preserve"> PAGEREF _Toc53736247 \h </w:instrText>
        </w:r>
        <w:r w:rsidR="00376771">
          <w:rPr>
            <w:webHidden/>
          </w:rPr>
        </w:r>
        <w:r w:rsidR="00376771">
          <w:rPr>
            <w:webHidden/>
          </w:rPr>
          <w:fldChar w:fldCharType="separate"/>
        </w:r>
        <w:r w:rsidR="00376771">
          <w:rPr>
            <w:webHidden/>
          </w:rPr>
          <w:t>15</w:t>
        </w:r>
        <w:r w:rsidR="00376771">
          <w:rPr>
            <w:webHidden/>
          </w:rPr>
          <w:fldChar w:fldCharType="end"/>
        </w:r>
      </w:hyperlink>
    </w:p>
    <w:p w14:paraId="312487DC" w14:textId="7A43273F" w:rsidR="00376771" w:rsidRDefault="006507E3">
      <w:pPr>
        <w:pStyle w:val="Obsah2"/>
        <w:rPr>
          <w:rFonts w:asciiTheme="minorHAnsi" w:eastAsiaTheme="minorEastAsia" w:hAnsiTheme="minorHAnsi" w:cstheme="minorBidi"/>
          <w:szCs w:val="22"/>
        </w:rPr>
      </w:pPr>
      <w:hyperlink w:anchor="_Toc53736248" w:history="1">
        <w:r w:rsidR="00376771" w:rsidRPr="00891345">
          <w:rPr>
            <w:rStyle w:val="Hypertextovodkaz"/>
          </w:rPr>
          <w:t>9.6</w:t>
        </w:r>
        <w:r w:rsidR="00376771">
          <w:rPr>
            <w:rFonts w:asciiTheme="minorHAnsi" w:eastAsiaTheme="minorEastAsia" w:hAnsiTheme="minorHAnsi" w:cstheme="minorBidi"/>
            <w:szCs w:val="22"/>
          </w:rPr>
          <w:tab/>
        </w:r>
        <w:r w:rsidR="00376771" w:rsidRPr="00891345">
          <w:rPr>
            <w:rStyle w:val="Hypertextovodkaz"/>
          </w:rPr>
          <w:t>Odvoz nevhodného materiálu</w:t>
        </w:r>
        <w:r w:rsidR="00376771">
          <w:rPr>
            <w:webHidden/>
          </w:rPr>
          <w:tab/>
        </w:r>
        <w:r w:rsidR="00376771">
          <w:rPr>
            <w:webHidden/>
          </w:rPr>
          <w:fldChar w:fldCharType="begin"/>
        </w:r>
        <w:r w:rsidR="00376771">
          <w:rPr>
            <w:webHidden/>
          </w:rPr>
          <w:instrText xml:space="preserve"> PAGEREF _Toc53736248 \h </w:instrText>
        </w:r>
        <w:r w:rsidR="00376771">
          <w:rPr>
            <w:webHidden/>
          </w:rPr>
        </w:r>
        <w:r w:rsidR="00376771">
          <w:rPr>
            <w:webHidden/>
          </w:rPr>
          <w:fldChar w:fldCharType="separate"/>
        </w:r>
        <w:r w:rsidR="00376771">
          <w:rPr>
            <w:webHidden/>
          </w:rPr>
          <w:t>15</w:t>
        </w:r>
        <w:r w:rsidR="00376771">
          <w:rPr>
            <w:webHidden/>
          </w:rPr>
          <w:fldChar w:fldCharType="end"/>
        </w:r>
      </w:hyperlink>
    </w:p>
    <w:p w14:paraId="617CD56B" w14:textId="6F7F92C2" w:rsidR="00376771" w:rsidRDefault="006507E3">
      <w:pPr>
        <w:pStyle w:val="Obsah1"/>
        <w:tabs>
          <w:tab w:val="right" w:leader="dot" w:pos="9627"/>
        </w:tabs>
        <w:rPr>
          <w:rFonts w:asciiTheme="minorHAnsi" w:eastAsiaTheme="minorEastAsia" w:hAnsiTheme="minorHAnsi" w:cstheme="minorBidi"/>
          <w:b w:val="0"/>
          <w:bCs w:val="0"/>
          <w:noProof/>
          <w:color w:val="auto"/>
          <w:szCs w:val="22"/>
        </w:rPr>
      </w:pPr>
      <w:hyperlink w:anchor="_Toc53736249" w:history="1">
        <w:r w:rsidR="00376771" w:rsidRPr="00891345">
          <w:rPr>
            <w:rStyle w:val="Hypertextovodkaz"/>
            <w:noProof/>
          </w:rPr>
          <w:t>10</w:t>
        </w:r>
        <w:r w:rsidR="00376771">
          <w:rPr>
            <w:rFonts w:asciiTheme="minorHAnsi" w:eastAsiaTheme="minorEastAsia" w:hAnsiTheme="minorHAnsi" w:cstheme="minorBidi"/>
            <w:b w:val="0"/>
            <w:bCs w:val="0"/>
            <w:noProof/>
            <w:color w:val="auto"/>
            <w:szCs w:val="22"/>
          </w:rPr>
          <w:tab/>
        </w:r>
        <w:r w:rsidR="00376771" w:rsidRPr="00891345">
          <w:rPr>
            <w:rStyle w:val="Hypertextovodkaz"/>
            <w:noProof/>
          </w:rPr>
          <w:t>Termín zahájení stavby</w:t>
        </w:r>
        <w:r w:rsidR="00376771">
          <w:rPr>
            <w:noProof/>
            <w:webHidden/>
          </w:rPr>
          <w:tab/>
        </w:r>
        <w:r w:rsidR="00376771">
          <w:rPr>
            <w:noProof/>
            <w:webHidden/>
          </w:rPr>
          <w:fldChar w:fldCharType="begin"/>
        </w:r>
        <w:r w:rsidR="00376771">
          <w:rPr>
            <w:noProof/>
            <w:webHidden/>
          </w:rPr>
          <w:instrText xml:space="preserve"> PAGEREF _Toc53736249 \h </w:instrText>
        </w:r>
        <w:r w:rsidR="00376771">
          <w:rPr>
            <w:noProof/>
            <w:webHidden/>
          </w:rPr>
        </w:r>
        <w:r w:rsidR="00376771">
          <w:rPr>
            <w:noProof/>
            <w:webHidden/>
          </w:rPr>
          <w:fldChar w:fldCharType="separate"/>
        </w:r>
        <w:r w:rsidR="00376771">
          <w:rPr>
            <w:noProof/>
            <w:webHidden/>
          </w:rPr>
          <w:t>16</w:t>
        </w:r>
        <w:r w:rsidR="00376771">
          <w:rPr>
            <w:noProof/>
            <w:webHidden/>
          </w:rPr>
          <w:fldChar w:fldCharType="end"/>
        </w:r>
      </w:hyperlink>
    </w:p>
    <w:p w14:paraId="0D144330" w14:textId="5FD5938B" w:rsidR="00376771" w:rsidRDefault="006507E3">
      <w:pPr>
        <w:pStyle w:val="Obsah1"/>
        <w:tabs>
          <w:tab w:val="right" w:leader="dot" w:pos="9627"/>
        </w:tabs>
        <w:rPr>
          <w:rFonts w:asciiTheme="minorHAnsi" w:eastAsiaTheme="minorEastAsia" w:hAnsiTheme="minorHAnsi" w:cstheme="minorBidi"/>
          <w:b w:val="0"/>
          <w:bCs w:val="0"/>
          <w:noProof/>
          <w:color w:val="auto"/>
          <w:szCs w:val="22"/>
        </w:rPr>
      </w:pPr>
      <w:hyperlink w:anchor="_Toc53736250" w:history="1">
        <w:r w:rsidR="00376771" w:rsidRPr="00891345">
          <w:rPr>
            <w:rStyle w:val="Hypertextovodkaz"/>
            <w:noProof/>
          </w:rPr>
          <w:t>11</w:t>
        </w:r>
        <w:r w:rsidR="00376771">
          <w:rPr>
            <w:rFonts w:asciiTheme="minorHAnsi" w:eastAsiaTheme="minorEastAsia" w:hAnsiTheme="minorHAnsi" w:cstheme="minorBidi"/>
            <w:b w:val="0"/>
            <w:bCs w:val="0"/>
            <w:noProof/>
            <w:color w:val="auto"/>
            <w:szCs w:val="22"/>
          </w:rPr>
          <w:tab/>
        </w:r>
        <w:r w:rsidR="00376771" w:rsidRPr="00891345">
          <w:rPr>
            <w:rStyle w:val="Hypertextovodkaz"/>
            <w:noProof/>
          </w:rPr>
          <w:t>Zkušební provoz</w:t>
        </w:r>
        <w:r w:rsidR="00376771">
          <w:rPr>
            <w:noProof/>
            <w:webHidden/>
          </w:rPr>
          <w:tab/>
        </w:r>
        <w:r w:rsidR="00376771">
          <w:rPr>
            <w:noProof/>
            <w:webHidden/>
          </w:rPr>
          <w:fldChar w:fldCharType="begin"/>
        </w:r>
        <w:r w:rsidR="00376771">
          <w:rPr>
            <w:noProof/>
            <w:webHidden/>
          </w:rPr>
          <w:instrText xml:space="preserve"> PAGEREF _Toc53736250 \h </w:instrText>
        </w:r>
        <w:r w:rsidR="00376771">
          <w:rPr>
            <w:noProof/>
            <w:webHidden/>
          </w:rPr>
        </w:r>
        <w:r w:rsidR="00376771">
          <w:rPr>
            <w:noProof/>
            <w:webHidden/>
          </w:rPr>
          <w:fldChar w:fldCharType="separate"/>
        </w:r>
        <w:r w:rsidR="00376771">
          <w:rPr>
            <w:noProof/>
            <w:webHidden/>
          </w:rPr>
          <w:t>16</w:t>
        </w:r>
        <w:r w:rsidR="00376771">
          <w:rPr>
            <w:noProof/>
            <w:webHidden/>
          </w:rPr>
          <w:fldChar w:fldCharType="end"/>
        </w:r>
      </w:hyperlink>
    </w:p>
    <w:p w14:paraId="5D624FB1" w14:textId="1135E0D6" w:rsidR="00376771" w:rsidRDefault="006507E3">
      <w:pPr>
        <w:pStyle w:val="Obsah1"/>
        <w:tabs>
          <w:tab w:val="right" w:leader="dot" w:pos="9627"/>
        </w:tabs>
        <w:rPr>
          <w:rFonts w:asciiTheme="minorHAnsi" w:eastAsiaTheme="minorEastAsia" w:hAnsiTheme="minorHAnsi" w:cstheme="minorBidi"/>
          <w:b w:val="0"/>
          <w:bCs w:val="0"/>
          <w:noProof/>
          <w:color w:val="auto"/>
          <w:szCs w:val="22"/>
        </w:rPr>
      </w:pPr>
      <w:hyperlink w:anchor="_Toc53736251" w:history="1">
        <w:r w:rsidR="00376771" w:rsidRPr="00891345">
          <w:rPr>
            <w:rStyle w:val="Hypertextovodkaz"/>
            <w:noProof/>
          </w:rPr>
          <w:t>12</w:t>
        </w:r>
        <w:r w:rsidR="00376771">
          <w:rPr>
            <w:rFonts w:asciiTheme="minorHAnsi" w:eastAsiaTheme="minorEastAsia" w:hAnsiTheme="minorHAnsi" w:cstheme="minorBidi"/>
            <w:b w:val="0"/>
            <w:bCs w:val="0"/>
            <w:noProof/>
            <w:color w:val="auto"/>
            <w:szCs w:val="22"/>
          </w:rPr>
          <w:tab/>
        </w:r>
        <w:r w:rsidR="00376771" w:rsidRPr="00891345">
          <w:rPr>
            <w:rStyle w:val="Hypertextovodkaz"/>
            <w:noProof/>
          </w:rPr>
          <w:t>Celkové náklady stavby</w:t>
        </w:r>
        <w:r w:rsidR="00376771">
          <w:rPr>
            <w:noProof/>
            <w:webHidden/>
          </w:rPr>
          <w:tab/>
        </w:r>
        <w:r w:rsidR="00376771">
          <w:rPr>
            <w:noProof/>
            <w:webHidden/>
          </w:rPr>
          <w:fldChar w:fldCharType="begin"/>
        </w:r>
        <w:r w:rsidR="00376771">
          <w:rPr>
            <w:noProof/>
            <w:webHidden/>
          </w:rPr>
          <w:instrText xml:space="preserve"> PAGEREF _Toc53736251 \h </w:instrText>
        </w:r>
        <w:r w:rsidR="00376771">
          <w:rPr>
            <w:noProof/>
            <w:webHidden/>
          </w:rPr>
        </w:r>
        <w:r w:rsidR="00376771">
          <w:rPr>
            <w:noProof/>
            <w:webHidden/>
          </w:rPr>
          <w:fldChar w:fldCharType="separate"/>
        </w:r>
        <w:r w:rsidR="00376771">
          <w:rPr>
            <w:noProof/>
            <w:webHidden/>
          </w:rPr>
          <w:t>16</w:t>
        </w:r>
        <w:r w:rsidR="00376771">
          <w:rPr>
            <w:noProof/>
            <w:webHidden/>
          </w:rPr>
          <w:fldChar w:fldCharType="end"/>
        </w:r>
      </w:hyperlink>
    </w:p>
    <w:p w14:paraId="238FD3C2" w14:textId="1F982F8A" w:rsidR="00E462C1" w:rsidRDefault="00CC549F" w:rsidP="00990FA7">
      <w:r>
        <w:rPr>
          <w:b/>
          <w:bCs/>
        </w:rPr>
        <w:fldChar w:fldCharType="end"/>
      </w:r>
    </w:p>
    <w:p w14:paraId="5FBB8826" w14:textId="77777777" w:rsidR="00E462C1" w:rsidRPr="008B0FC3" w:rsidRDefault="002A5F06" w:rsidP="000F14C5">
      <w:pPr>
        <w:pStyle w:val="Nadpis1"/>
      </w:pPr>
      <w:bookmarkStart w:id="15" w:name="_Toc88104622"/>
      <w:bookmarkStart w:id="16" w:name="_Toc88105067"/>
      <w:bookmarkStart w:id="17" w:name="_Toc88105322"/>
      <w:bookmarkStart w:id="18" w:name="_Toc88108799"/>
      <w:bookmarkStart w:id="19" w:name="_Toc88108864"/>
      <w:bookmarkStart w:id="20" w:name="_Toc88109216"/>
      <w:bookmarkStart w:id="21" w:name="_Toc88109295"/>
      <w:bookmarkStart w:id="22" w:name="_Toc88119778"/>
      <w:bookmarkStart w:id="23" w:name="_Toc88120569"/>
      <w:bookmarkStart w:id="24" w:name="_Toc88120646"/>
      <w:bookmarkStart w:id="25" w:name="_Toc88121219"/>
      <w:bookmarkStart w:id="26" w:name="_Toc88121465"/>
      <w:bookmarkStart w:id="27" w:name="_Toc88121490"/>
      <w:bookmarkStart w:id="28" w:name="_Toc88121551"/>
      <w:bookmarkStart w:id="29" w:name="_Toc88287774"/>
      <w:bookmarkStart w:id="30" w:name="_Toc68497117"/>
      <w:bookmarkStart w:id="31" w:name="_Toc115846553"/>
      <w:r>
        <w:br w:type="page"/>
      </w:r>
      <w:bookmarkStart w:id="32" w:name="_Toc53736206"/>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0023485F" w:rsidRPr="008B0FC3">
        <w:lastRenderedPageBreak/>
        <w:t>POPIS STÁVAJÍCÍHO STAVU</w:t>
      </w:r>
      <w:bookmarkEnd w:id="32"/>
    </w:p>
    <w:p w14:paraId="58331B3A" w14:textId="77777777" w:rsidR="004B29B8" w:rsidRPr="008B0FC3" w:rsidRDefault="004B29B8" w:rsidP="004B29B8">
      <w:pPr>
        <w:tabs>
          <w:tab w:val="left" w:pos="0"/>
        </w:tabs>
        <w:spacing w:before="120"/>
        <w:jc w:val="both"/>
        <w:rPr>
          <w:szCs w:val="22"/>
        </w:rPr>
      </w:pPr>
      <w:r w:rsidRPr="008B0FC3">
        <w:rPr>
          <w:szCs w:val="22"/>
        </w:rPr>
        <w:t>Stavba je situována ve městě Brně v MČ Brno – Žabovřesky, na ulici Stránského. Stavba se nachází v zastavěném území. V severní části ulice Stránského se nachází obytná zóna tvořena převážně řadovými rodinnými domy, v jižní části jsou bytové domy, obchodní dům Billa, kaple a podnikatelské objekty. V ulici je obousměrný provoz, od ul. Haasova se jedná o slepou ulici. Po celé délce jsou po obou stranách komunikace asfaltové chodníky. Chodníky jsou v místě řadové zástavby přilehlé k nemovitostem. Nadmořská výška řešeného území se pohybuje mezi 207,50 – 215,70 m n. m.</w:t>
      </w:r>
    </w:p>
    <w:p w14:paraId="3BA877CE" w14:textId="77777777" w:rsidR="004B29B8" w:rsidRPr="008B0FC3" w:rsidRDefault="004B29B8" w:rsidP="004B29B8">
      <w:pPr>
        <w:tabs>
          <w:tab w:val="left" w:pos="0"/>
        </w:tabs>
        <w:spacing w:before="120"/>
        <w:jc w:val="both"/>
        <w:rPr>
          <w:szCs w:val="22"/>
        </w:rPr>
      </w:pPr>
      <w:r w:rsidRPr="008B0FC3">
        <w:rPr>
          <w:szCs w:val="22"/>
        </w:rPr>
        <w:t>Stávající jednotná kanalizace v ulici je z let 1935 a 1970. Hlavní řad vede od ulice Horova a stáčí se do ulice Haasova, kde pokračuje. Je tvořena betonovými troubami vejčitého profilu DN 600/900. V šachtě v křižovatce Stránského-Haasova je možnost odlehčení do betonové stoky DN 500, která pokračuje ulicí Stránského a dále pod tramvajovou tratí, VMO (MÚK Kníničská × VMO Žabovřeská) a nezpevněným terénem, kde se napojuje na sběrač B. Stávající kanalizace je uložena přibližně v ose komunikace. Stoka je ve špatném stavebním stavu a částečně nekapacitní.</w:t>
      </w:r>
    </w:p>
    <w:p w14:paraId="4908FDB7" w14:textId="77777777" w:rsidR="004B29B8" w:rsidRPr="008B0FC3" w:rsidRDefault="004B29B8" w:rsidP="004B29B8">
      <w:pPr>
        <w:tabs>
          <w:tab w:val="left" w:pos="0"/>
        </w:tabs>
        <w:spacing w:before="120"/>
        <w:jc w:val="both"/>
        <w:rPr>
          <w:szCs w:val="22"/>
        </w:rPr>
      </w:pPr>
      <w:r w:rsidRPr="008B0FC3">
        <w:rPr>
          <w:szCs w:val="22"/>
        </w:rPr>
        <w:t>Trasa rekonstruované kanalizace je vedena po veřejných pozemcích ve zpevněných plochách v místní komunikaci. Stavba respektuje zástavbu města a v co nejmenší míře zasahuje do polohy stávajících inženýrských sítí.</w:t>
      </w:r>
    </w:p>
    <w:p w14:paraId="66861FEB" w14:textId="6828CFE8" w:rsidR="004B29B8" w:rsidRPr="008B0FC3" w:rsidRDefault="004B29B8" w:rsidP="004B29B8">
      <w:pPr>
        <w:tabs>
          <w:tab w:val="left" w:pos="0"/>
        </w:tabs>
        <w:spacing w:before="120"/>
        <w:jc w:val="both"/>
        <w:rPr>
          <w:szCs w:val="22"/>
        </w:rPr>
      </w:pPr>
      <w:r w:rsidRPr="008B0FC3">
        <w:rPr>
          <w:szCs w:val="22"/>
        </w:rPr>
        <w:t>Stavební objekt „SO 311 Kanalizace“ řeší úsek nové kanalizace mezi šachtami Š2 a š7223. Jde o úsek od konce ulice Stránského po ulici Horovu.</w:t>
      </w:r>
    </w:p>
    <w:p w14:paraId="0FBFD0DA" w14:textId="77777777" w:rsidR="00FB527E" w:rsidRPr="008B0FC3" w:rsidRDefault="00FB527E" w:rsidP="00E40F21">
      <w:pPr>
        <w:tabs>
          <w:tab w:val="left" w:pos="0"/>
        </w:tabs>
        <w:spacing w:before="120"/>
        <w:jc w:val="both"/>
        <w:rPr>
          <w:szCs w:val="22"/>
        </w:rPr>
      </w:pPr>
    </w:p>
    <w:p w14:paraId="4CBBE1EF" w14:textId="77777777" w:rsidR="00675A1F" w:rsidRPr="008B0FC3" w:rsidRDefault="00675A1F" w:rsidP="00675A1F">
      <w:pPr>
        <w:pStyle w:val="Nadpis1"/>
      </w:pPr>
      <w:bookmarkStart w:id="33" w:name="_Toc53736207"/>
      <w:r w:rsidRPr="008B0FC3">
        <w:t>ÚDAJE O STAVBĚ</w:t>
      </w:r>
      <w:bookmarkEnd w:id="33"/>
    </w:p>
    <w:p w14:paraId="5ED76424" w14:textId="77777777" w:rsidR="0030632D" w:rsidRPr="008B0FC3" w:rsidRDefault="0030632D" w:rsidP="003C5AF6">
      <w:pPr>
        <w:pStyle w:val="Odstavecseseznamem"/>
        <w:ind w:left="0"/>
        <w:rPr>
          <w:b/>
        </w:rPr>
      </w:pPr>
      <w:r w:rsidRPr="008B0FC3">
        <w:rPr>
          <w:b/>
        </w:rPr>
        <w:t>Souhrnné údaje</w:t>
      </w:r>
    </w:p>
    <w:p w14:paraId="08299C83" w14:textId="4F02D890" w:rsidR="00675A1F" w:rsidRPr="008B0FC3" w:rsidRDefault="004B29B8" w:rsidP="004B29B8">
      <w:pPr>
        <w:pStyle w:val="AqpText"/>
        <w:tabs>
          <w:tab w:val="left" w:pos="6663"/>
        </w:tabs>
      </w:pPr>
      <w:r w:rsidRPr="008B0FC3">
        <w:t>Celková délka kruhového potrubí ŽB + čedičová výstelka DN 1000</w:t>
      </w:r>
      <w:r w:rsidR="001916A2" w:rsidRPr="008B0FC3">
        <w:tab/>
      </w:r>
      <w:r w:rsidRPr="008B0FC3">
        <w:t>287</w:t>
      </w:r>
      <w:r w:rsidR="0030632D" w:rsidRPr="008B0FC3">
        <w:t>,</w:t>
      </w:r>
      <w:r w:rsidRPr="008B0FC3">
        <w:t>65</w:t>
      </w:r>
      <w:r w:rsidR="0030632D" w:rsidRPr="008B0FC3">
        <w:t xml:space="preserve"> m</w:t>
      </w:r>
    </w:p>
    <w:p w14:paraId="3B9DCC25" w14:textId="43E4DC57" w:rsidR="007C4DF1" w:rsidRPr="008B0FC3" w:rsidRDefault="007C4DF1" w:rsidP="004B29B8">
      <w:pPr>
        <w:pStyle w:val="AqpText"/>
        <w:tabs>
          <w:tab w:val="left" w:pos="6663"/>
        </w:tabs>
      </w:pPr>
      <w:r w:rsidRPr="008B0FC3">
        <w:t>Celková délka betonového vejčitého potrubí</w:t>
      </w:r>
      <w:r w:rsidR="004B29B8" w:rsidRPr="008B0FC3">
        <w:t xml:space="preserve"> + čedičový žlab</w:t>
      </w:r>
      <w:r w:rsidRPr="008B0FC3">
        <w:t xml:space="preserve"> DN </w:t>
      </w:r>
      <w:r w:rsidR="004B29B8" w:rsidRPr="008B0FC3">
        <w:t>5</w:t>
      </w:r>
      <w:r w:rsidRPr="008B0FC3">
        <w:t>00/</w:t>
      </w:r>
      <w:r w:rsidR="004B29B8" w:rsidRPr="008B0FC3">
        <w:t>75</w:t>
      </w:r>
      <w:r w:rsidRPr="008B0FC3">
        <w:t>0</w:t>
      </w:r>
      <w:r w:rsidRPr="008B0FC3">
        <w:tab/>
      </w:r>
      <w:r w:rsidR="004B29B8" w:rsidRPr="008B0FC3">
        <w:t>7,0</w:t>
      </w:r>
      <w:r w:rsidRPr="008B0FC3">
        <w:t>0 m</w:t>
      </w:r>
    </w:p>
    <w:p w14:paraId="2FAD7CC9" w14:textId="5FB12637" w:rsidR="00675A1F" w:rsidRPr="008B0FC3" w:rsidRDefault="003C5AF6" w:rsidP="004B29B8">
      <w:pPr>
        <w:pStyle w:val="AqpText"/>
        <w:tabs>
          <w:tab w:val="left" w:pos="6663"/>
        </w:tabs>
      </w:pPr>
      <w:r w:rsidRPr="008B0FC3">
        <w:t>P</w:t>
      </w:r>
      <w:r w:rsidR="00675A1F" w:rsidRPr="008B0FC3">
        <w:t>očet nových šachet</w:t>
      </w:r>
      <w:r w:rsidR="007C4DF1" w:rsidRPr="008B0FC3">
        <w:t xml:space="preserve"> s prefabrikovaným dnem</w:t>
      </w:r>
      <w:r w:rsidR="001916A2" w:rsidRPr="008B0FC3">
        <w:tab/>
      </w:r>
      <w:r w:rsidR="004B29B8" w:rsidRPr="008B0FC3">
        <w:t>5</w:t>
      </w:r>
      <w:r w:rsidR="0030632D" w:rsidRPr="008B0FC3">
        <w:t xml:space="preserve"> ks</w:t>
      </w:r>
    </w:p>
    <w:p w14:paraId="2D990097" w14:textId="692E0D21" w:rsidR="007C4DF1" w:rsidRPr="008B0FC3" w:rsidRDefault="007C4DF1" w:rsidP="004B29B8">
      <w:pPr>
        <w:pStyle w:val="AqpText"/>
        <w:tabs>
          <w:tab w:val="left" w:pos="6663"/>
        </w:tabs>
      </w:pPr>
      <w:r w:rsidRPr="008B0FC3">
        <w:t>Počet nových šachet s monolitickým dnem</w:t>
      </w:r>
      <w:r w:rsidRPr="008B0FC3">
        <w:tab/>
      </w:r>
      <w:r w:rsidR="00BE5315" w:rsidRPr="008B0FC3">
        <w:t>2</w:t>
      </w:r>
      <w:r w:rsidRPr="008B0FC3">
        <w:t xml:space="preserve"> ks</w:t>
      </w:r>
    </w:p>
    <w:p w14:paraId="61B864F7" w14:textId="5EAC843E" w:rsidR="003C5AF6" w:rsidRPr="008B0FC3" w:rsidRDefault="007C4DF1" w:rsidP="004B29B8">
      <w:pPr>
        <w:pStyle w:val="AqpText"/>
        <w:tabs>
          <w:tab w:val="left" w:pos="6663"/>
        </w:tabs>
      </w:pPr>
      <w:r w:rsidRPr="008B0FC3">
        <w:t xml:space="preserve">Napojovací elementy </w:t>
      </w:r>
      <w:r w:rsidR="00975DA7">
        <w:t>C</w:t>
      </w:r>
      <w:r w:rsidRPr="008B0FC3">
        <w:t xml:space="preserve"> pro potrubí KT DN 200 (přípojka)</w:t>
      </w:r>
      <w:r w:rsidR="004B29B8" w:rsidRPr="008B0FC3">
        <w:tab/>
        <w:t>8</w:t>
      </w:r>
      <w:r w:rsidR="003C5AF6" w:rsidRPr="008B0FC3">
        <w:t xml:space="preserve"> ks</w:t>
      </w:r>
    </w:p>
    <w:p w14:paraId="7A0635D6" w14:textId="6DC3D2A8" w:rsidR="007C4DF1" w:rsidRPr="008B0FC3" w:rsidRDefault="007C4DF1" w:rsidP="004B29B8">
      <w:pPr>
        <w:pStyle w:val="AqpText"/>
        <w:tabs>
          <w:tab w:val="left" w:pos="6663"/>
        </w:tabs>
      </w:pPr>
      <w:r w:rsidRPr="008B0FC3">
        <w:t xml:space="preserve">Napojovací elementy </w:t>
      </w:r>
      <w:r w:rsidR="00975DA7">
        <w:t>C</w:t>
      </w:r>
      <w:r w:rsidRPr="008B0FC3">
        <w:t xml:space="preserve"> pro potrubí KT DN 150 (přípojka)</w:t>
      </w:r>
      <w:r w:rsidRPr="008B0FC3">
        <w:tab/>
      </w:r>
      <w:r w:rsidR="004B29B8" w:rsidRPr="008B0FC3">
        <w:t>35</w:t>
      </w:r>
      <w:r w:rsidRPr="008B0FC3">
        <w:t xml:space="preserve"> ks</w:t>
      </w:r>
    </w:p>
    <w:p w14:paraId="5B4C5857" w14:textId="100D5A53" w:rsidR="0030632D" w:rsidRPr="008B0FC3" w:rsidRDefault="007C4DF1" w:rsidP="004B29B8">
      <w:pPr>
        <w:pStyle w:val="AqpText"/>
        <w:tabs>
          <w:tab w:val="left" w:pos="6663"/>
        </w:tabs>
      </w:pPr>
      <w:r w:rsidRPr="008B0FC3">
        <w:t xml:space="preserve">Napojovací elementy </w:t>
      </w:r>
      <w:r w:rsidR="00975DA7">
        <w:t>C</w:t>
      </w:r>
      <w:r w:rsidRPr="008B0FC3">
        <w:t xml:space="preserve"> pro potrubí KT DN 150 (uliční vpust)</w:t>
      </w:r>
      <w:r w:rsidR="001916A2" w:rsidRPr="008B0FC3">
        <w:tab/>
      </w:r>
      <w:r w:rsidR="004B29B8" w:rsidRPr="008B0FC3">
        <w:t>20</w:t>
      </w:r>
      <w:r w:rsidRPr="008B0FC3">
        <w:t xml:space="preserve"> ks</w:t>
      </w:r>
    </w:p>
    <w:p w14:paraId="3A955C14" w14:textId="77777777" w:rsidR="003C5AF6" w:rsidRPr="008B0FC3" w:rsidRDefault="003C5AF6" w:rsidP="00675A1F">
      <w:pPr>
        <w:pStyle w:val="AqpText"/>
      </w:pPr>
    </w:p>
    <w:p w14:paraId="0EFA445C" w14:textId="77777777" w:rsidR="003C5AF6" w:rsidRPr="008B0FC3" w:rsidRDefault="003C5AF6" w:rsidP="003C5AF6">
      <w:pPr>
        <w:pStyle w:val="Nadpis1"/>
      </w:pPr>
      <w:bookmarkStart w:id="34" w:name="_Toc53736208"/>
      <w:r w:rsidRPr="008B0FC3">
        <w:t>TECHNICKÝ POPIS</w:t>
      </w:r>
      <w:bookmarkEnd w:id="34"/>
    </w:p>
    <w:p w14:paraId="321D2FC6" w14:textId="77777777" w:rsidR="002753FD" w:rsidRPr="008B0FC3" w:rsidRDefault="002753FD" w:rsidP="003C5AF6">
      <w:pPr>
        <w:pStyle w:val="Nadpis2"/>
      </w:pPr>
      <w:bookmarkStart w:id="35" w:name="_Toc53736209"/>
      <w:r w:rsidRPr="008B0FC3">
        <w:t>Stok</w:t>
      </w:r>
      <w:r w:rsidR="00DC2374" w:rsidRPr="008B0FC3">
        <w:t>a</w:t>
      </w:r>
      <w:bookmarkEnd w:id="35"/>
    </w:p>
    <w:p w14:paraId="24BE9B2B" w14:textId="32191A32" w:rsidR="00574180" w:rsidRPr="008B0FC3" w:rsidRDefault="00574180" w:rsidP="003C5AF6">
      <w:pPr>
        <w:pStyle w:val="AqpText"/>
        <w:rPr>
          <w:b/>
          <w:u w:val="single"/>
        </w:rPr>
      </w:pPr>
      <w:r w:rsidRPr="008B0FC3">
        <w:rPr>
          <w:b/>
          <w:u w:val="single"/>
        </w:rPr>
        <w:t>Trasa</w:t>
      </w:r>
      <w:r w:rsidR="00AD215C" w:rsidRPr="008B0FC3">
        <w:rPr>
          <w:b/>
          <w:u w:val="single"/>
        </w:rPr>
        <w:t xml:space="preserve"> stoky „</w:t>
      </w:r>
      <w:r w:rsidR="00FA5D04" w:rsidRPr="008B0FC3">
        <w:rPr>
          <w:b/>
          <w:u w:val="single"/>
        </w:rPr>
        <w:t>Stránského</w:t>
      </w:r>
      <w:r w:rsidR="00AD215C" w:rsidRPr="008B0FC3">
        <w:rPr>
          <w:b/>
          <w:u w:val="single"/>
        </w:rPr>
        <w:t>“</w:t>
      </w:r>
      <w:r w:rsidR="00FA5D04" w:rsidRPr="008B0FC3">
        <w:rPr>
          <w:b/>
          <w:u w:val="single"/>
        </w:rPr>
        <w:t xml:space="preserve"> (úsek Š2-š7223)</w:t>
      </w:r>
      <w:r w:rsidRPr="008B0FC3">
        <w:rPr>
          <w:b/>
          <w:u w:val="single"/>
        </w:rPr>
        <w:t>:</w:t>
      </w:r>
    </w:p>
    <w:p w14:paraId="3F538B1A" w14:textId="75ACA9ED" w:rsidR="00AD215C" w:rsidRPr="008B0FC3" w:rsidRDefault="00702B53" w:rsidP="003C5AF6">
      <w:pPr>
        <w:pStyle w:val="AqpText"/>
      </w:pPr>
      <w:r w:rsidRPr="008B0FC3">
        <w:t>Navržená trasa stoky „</w:t>
      </w:r>
      <w:r w:rsidR="00FA5D04" w:rsidRPr="008B0FC3">
        <w:t>Stránského</w:t>
      </w:r>
      <w:r w:rsidRPr="008B0FC3">
        <w:t xml:space="preserve">“ </w:t>
      </w:r>
      <w:r w:rsidR="00FA5D04" w:rsidRPr="008B0FC3">
        <w:t xml:space="preserve">kopíruje přibližně stávající trasu a </w:t>
      </w:r>
      <w:r w:rsidR="00085781" w:rsidRPr="008B0FC3">
        <w:t xml:space="preserve">je umístěna </w:t>
      </w:r>
      <w:r w:rsidR="00EF63B2" w:rsidRPr="008B0FC3">
        <w:t xml:space="preserve">zhruba </w:t>
      </w:r>
      <w:r w:rsidR="00085781" w:rsidRPr="008B0FC3">
        <w:t xml:space="preserve">v ose </w:t>
      </w:r>
      <w:r w:rsidR="00EF63B2" w:rsidRPr="008B0FC3">
        <w:t xml:space="preserve">komunikace. </w:t>
      </w:r>
      <w:r w:rsidRPr="008B0FC3">
        <w:t xml:space="preserve">Začátek se nachází v nejvyšším místě řešeného úseku </w:t>
      </w:r>
      <w:r w:rsidR="00EF63B2" w:rsidRPr="008B0FC3">
        <w:t>ve stávající šachtě číslo 7223</w:t>
      </w:r>
      <w:r w:rsidRPr="008B0FC3">
        <w:t xml:space="preserve">. </w:t>
      </w:r>
      <w:r w:rsidR="00EF63B2" w:rsidRPr="008B0FC3">
        <w:t xml:space="preserve">Šachta Š6 umožňuje odlehčení vyšších </w:t>
      </w:r>
      <w:r w:rsidR="00EF63B2" w:rsidRPr="008B0FC3">
        <w:lastRenderedPageBreak/>
        <w:t xml:space="preserve">průtoků do stoky „Haasova“. Stoka dále pokračuje ulicí až do šachty Š2, která je součástí projektu „Brno, Stránského – rekonstrukce kanalizace a vodovodu, SO 310 Kanalizace (úsek Š1-Š2)“. </w:t>
      </w:r>
      <w:r w:rsidR="00085781" w:rsidRPr="008B0FC3">
        <w:t xml:space="preserve">Celková délka řešeného úseku je </w:t>
      </w:r>
      <w:r w:rsidR="00EF63B2" w:rsidRPr="008B0FC3">
        <w:t>287</w:t>
      </w:r>
      <w:r w:rsidR="00085781" w:rsidRPr="008B0FC3">
        <w:t>,</w:t>
      </w:r>
      <w:r w:rsidR="00EF63B2" w:rsidRPr="008B0FC3">
        <w:t>65</w:t>
      </w:r>
      <w:r w:rsidR="00085781" w:rsidRPr="008B0FC3">
        <w:t xml:space="preserve"> m.</w:t>
      </w:r>
    </w:p>
    <w:p w14:paraId="16A13658" w14:textId="41EA9FA4" w:rsidR="001F6CB5" w:rsidRPr="008B0FC3" w:rsidRDefault="0092593D" w:rsidP="000013B1">
      <w:pPr>
        <w:pStyle w:val="AqpText"/>
      </w:pPr>
      <w:r>
        <w:t>Podélný profil je v celé délce upraven. V šachtě Š8 je niveleta o cca 0,5 m zahloubena oproti stávajícímu stavu z důvodu nalepšení sklonových poměrů kanalizačních přípojek. Podélný sklon v prvním šachtovém úseku je 44,44 ‰, v dalších dvou 27,00 ‰. V</w:t>
      </w:r>
      <w:r w:rsidR="000013B1" w:rsidRPr="008B0FC3">
        <w:t xml:space="preserve">zhledem ke změně hlavního směru toku, je od šachty Š6 niveleta zahloubena se sklonem 5,40 ‰.  </w:t>
      </w:r>
      <w:r w:rsidR="00BB23FE" w:rsidRPr="008B0FC3">
        <w:t xml:space="preserve">Dimenze potrubí </w:t>
      </w:r>
      <w:r w:rsidR="000013B1" w:rsidRPr="008B0FC3">
        <w:t xml:space="preserve">je v celém řešeném úseku zvětšena na DN 1000. </w:t>
      </w:r>
    </w:p>
    <w:p w14:paraId="41AE8362" w14:textId="77777777" w:rsidR="00574180" w:rsidRPr="008B0FC3" w:rsidRDefault="00574180" w:rsidP="003C5AF6">
      <w:pPr>
        <w:pStyle w:val="AqpText"/>
        <w:rPr>
          <w:u w:val="single"/>
        </w:rPr>
      </w:pPr>
      <w:r w:rsidRPr="008B0FC3">
        <w:rPr>
          <w:u w:val="single"/>
        </w:rPr>
        <w:t>Postup výstavby:</w:t>
      </w:r>
    </w:p>
    <w:p w14:paraId="30D5A953" w14:textId="38F063C8" w:rsidR="009846A4" w:rsidRPr="008B0FC3" w:rsidRDefault="00790C42" w:rsidP="003C5AF6">
      <w:pPr>
        <w:pStyle w:val="AqpText"/>
      </w:pPr>
      <w:r w:rsidRPr="008B0FC3">
        <w:t xml:space="preserve">Při rekonstrukci kanalizace bude postupováno vždy proti spádu potrubí. Stavba by tedy měla být zahájena od </w:t>
      </w:r>
      <w:r w:rsidR="000013B1" w:rsidRPr="008B0FC3">
        <w:t xml:space="preserve">již vybudované </w:t>
      </w:r>
      <w:r w:rsidRPr="008B0FC3">
        <w:t>šachty Š</w:t>
      </w:r>
      <w:r w:rsidR="000013B1" w:rsidRPr="008B0FC3">
        <w:t>2</w:t>
      </w:r>
      <w:r w:rsidRPr="008B0FC3">
        <w:t xml:space="preserve">. </w:t>
      </w:r>
      <w:r w:rsidR="000013B1" w:rsidRPr="008B0FC3">
        <w:t xml:space="preserve">Šachta Š6 je navržena s monolitickým dnem. </w:t>
      </w:r>
      <w:r w:rsidR="009846A4" w:rsidRPr="008B0FC3">
        <w:t>Ostatní šachty jsou navrženy s prefabrikovaným dnem.</w:t>
      </w:r>
      <w:r w:rsidR="000013B1" w:rsidRPr="008B0FC3">
        <w:t xml:space="preserve"> Při napojování stávajícího potrubí do nové šachty je nutné zajistit vodotěsnost spojení použitím bobtnavého těsnícího pásku.</w:t>
      </w:r>
    </w:p>
    <w:p w14:paraId="0FCDAB40" w14:textId="666A9208" w:rsidR="00085781" w:rsidRPr="008B0FC3" w:rsidRDefault="00085781" w:rsidP="00EA5CA8">
      <w:pPr>
        <w:pStyle w:val="AqpText"/>
        <w:rPr>
          <w:b/>
          <w:u w:val="single"/>
        </w:rPr>
      </w:pPr>
      <w:r w:rsidRPr="008B0FC3">
        <w:rPr>
          <w:b/>
          <w:u w:val="single"/>
        </w:rPr>
        <w:t xml:space="preserve">Trasa </w:t>
      </w:r>
      <w:r w:rsidR="000013B1" w:rsidRPr="008B0FC3">
        <w:rPr>
          <w:b/>
          <w:u w:val="single"/>
        </w:rPr>
        <w:t>propoje</w:t>
      </w:r>
      <w:r w:rsidRPr="008B0FC3">
        <w:rPr>
          <w:b/>
          <w:u w:val="single"/>
        </w:rPr>
        <w:t xml:space="preserve"> „</w:t>
      </w:r>
      <w:r w:rsidR="000013B1" w:rsidRPr="008B0FC3">
        <w:rPr>
          <w:b/>
          <w:u w:val="single"/>
        </w:rPr>
        <w:t>Haasova</w:t>
      </w:r>
      <w:r w:rsidR="008D4BCD" w:rsidRPr="008B0FC3">
        <w:rPr>
          <w:b/>
          <w:u w:val="single"/>
        </w:rPr>
        <w:t>“</w:t>
      </w:r>
      <w:r w:rsidRPr="008B0FC3">
        <w:rPr>
          <w:b/>
          <w:u w:val="single"/>
        </w:rPr>
        <w:t>:</w:t>
      </w:r>
    </w:p>
    <w:p w14:paraId="545A6C6C" w14:textId="57C5F858" w:rsidR="007051B4" w:rsidRPr="008B0FC3" w:rsidRDefault="000013B1" w:rsidP="008B0FC3">
      <w:pPr>
        <w:pStyle w:val="AqpText"/>
      </w:pPr>
      <w:r w:rsidRPr="008B0FC3">
        <w:t xml:space="preserve">Propoj „Haasova“ umožňuje případné odlehčení větších průtoků ze stoky „Stránského“ do stoky „Haasova“. </w:t>
      </w:r>
      <w:r w:rsidR="008B0FC3" w:rsidRPr="008B0FC3">
        <w:t xml:space="preserve">Odlehčení je v šachtě Š6 navrženo 0,70 m nade dnem. V šachtě Š6a je navržen odskok 0,45 m. Niveleta i dimenze je změněna. Nově 40,00 ‰ a vejčitý profil DN 500/750 o délce 7,00 m. </w:t>
      </w:r>
    </w:p>
    <w:p w14:paraId="2BFE4D9E" w14:textId="77777777" w:rsidR="009846A4" w:rsidRPr="008B0FC3" w:rsidRDefault="009846A4" w:rsidP="00EA5CA8">
      <w:pPr>
        <w:pStyle w:val="AqpText"/>
        <w:rPr>
          <w:u w:val="single"/>
        </w:rPr>
      </w:pPr>
      <w:r w:rsidRPr="008B0FC3">
        <w:rPr>
          <w:u w:val="single"/>
        </w:rPr>
        <w:t>Postup výstavby:</w:t>
      </w:r>
    </w:p>
    <w:p w14:paraId="55F46CD4" w14:textId="7C6DDD75" w:rsidR="009846A4" w:rsidRPr="008B0FC3" w:rsidRDefault="009846A4" w:rsidP="00EA5CA8">
      <w:pPr>
        <w:pStyle w:val="AqpText"/>
      </w:pPr>
      <w:r w:rsidRPr="008B0FC3">
        <w:t xml:space="preserve">Výstavba </w:t>
      </w:r>
      <w:r w:rsidR="008B0FC3" w:rsidRPr="008B0FC3">
        <w:t>propoje</w:t>
      </w:r>
      <w:r w:rsidRPr="008B0FC3">
        <w:t xml:space="preserve"> „</w:t>
      </w:r>
      <w:r w:rsidR="008B0FC3" w:rsidRPr="008B0FC3">
        <w:t>Haasova</w:t>
      </w:r>
      <w:r w:rsidRPr="008B0FC3">
        <w:t>“ bude zahájena po vybudování šachty Š</w:t>
      </w:r>
      <w:r w:rsidR="008B0FC3" w:rsidRPr="008B0FC3">
        <w:t>6a</w:t>
      </w:r>
      <w:r w:rsidRPr="008B0FC3">
        <w:t>. Následně se bude postupovat proti spádu potrubí až po šachtu Š</w:t>
      </w:r>
      <w:r w:rsidR="008B0FC3" w:rsidRPr="008B0FC3">
        <w:t>6</w:t>
      </w:r>
      <w:r w:rsidRPr="008B0FC3">
        <w:t>.</w:t>
      </w:r>
    </w:p>
    <w:p w14:paraId="45BA7394" w14:textId="77777777" w:rsidR="002753FD" w:rsidRPr="008B0FC3" w:rsidRDefault="002753FD" w:rsidP="002753FD">
      <w:pPr>
        <w:pStyle w:val="Nadpis2"/>
      </w:pPr>
      <w:bookmarkStart w:id="36" w:name="_Toc53736210"/>
      <w:r w:rsidRPr="008B0FC3">
        <w:t>Objekty</w:t>
      </w:r>
      <w:r w:rsidR="007303F2" w:rsidRPr="008B0FC3">
        <w:t xml:space="preserve"> na stokách</w:t>
      </w:r>
      <w:bookmarkEnd w:id="36"/>
    </w:p>
    <w:p w14:paraId="1CF0C1A5" w14:textId="180036C4" w:rsidR="002753FD" w:rsidRPr="008B0FC3" w:rsidRDefault="002753FD" w:rsidP="002753FD">
      <w:pPr>
        <w:pStyle w:val="Nadpis3"/>
      </w:pPr>
      <w:bookmarkStart w:id="37" w:name="_Toc53736211"/>
      <w:r w:rsidRPr="008B0FC3">
        <w:t>Typové prefabrikované revizní šachty</w:t>
      </w:r>
      <w:bookmarkEnd w:id="37"/>
    </w:p>
    <w:p w14:paraId="05850DF6" w14:textId="1BE7EFB9" w:rsidR="002C5AAC" w:rsidRPr="008B0FC3" w:rsidRDefault="002C5AAC" w:rsidP="002C5AAC">
      <w:pPr>
        <w:pStyle w:val="AqpText"/>
      </w:pPr>
      <w:r w:rsidRPr="008B0FC3">
        <w:t>Na stoce „Stránského“ jsou použity prefabrikované revizní šachty s prefabrikovanými nebo monolitickými dny. Prefabrikovaná dna mají následující šachty: Š3, Š4, Š5, Š7 a Š8.</w:t>
      </w:r>
    </w:p>
    <w:p w14:paraId="5C753C94" w14:textId="6A98F525" w:rsidR="002C5AAC" w:rsidRPr="008B0FC3" w:rsidRDefault="002C5AAC" w:rsidP="002C5AAC">
      <w:pPr>
        <w:pStyle w:val="AqpText"/>
      </w:pPr>
      <w:r w:rsidRPr="008B0FC3">
        <w:t>Šachta DN 1000 se dnem DN 1500 je běžná typová prefabrikovaná, tl. stěny 120 mm, resp. 150 mm (dno). Pří zvýšené agresivitě chemického prostředí XA2 musí být použit síranovzdorný cement. Šachta se skládá z prefabrikovaného šachetního dna DN 1500 s kynetou tvořenou čedič</w:t>
      </w:r>
      <w:r w:rsidR="00137409" w:rsidRPr="008B0FC3">
        <w:t>ovou radiální tvarovkou DN 1000 výšky 500 mm</w:t>
      </w:r>
      <w:r w:rsidRPr="008B0FC3">
        <w:t>, z přechodové desky, z šachtových skruží a z přechodového kónusu, popř. z důvodu nízké výšky nadloží bude použita přechodová deska</w:t>
      </w:r>
      <w:r w:rsidR="00137409" w:rsidRPr="008B0FC3">
        <w:t xml:space="preserve"> </w:t>
      </w:r>
      <w:r w:rsidRPr="008B0FC3">
        <w:t xml:space="preserve">výšky 200 mm s jedním kusem vyrovnávacího prstence. Šachetní díly budou osazeny zabudovanými ocelovými stupadly s PE potahem. </w:t>
      </w:r>
      <w:r w:rsidR="009B0F53">
        <w:t xml:space="preserve">Do horní třetiny kynety bude vloženo kapsové stupadlo pro lepší vlez do stoky a na stěnu šachty bude umístěno ocelové stupadlo s PE potahem pro možnost úchytu. </w:t>
      </w:r>
      <w:r w:rsidRPr="008B0FC3">
        <w:t>Vodotěsnost spojů zajišťuje pryžové (elastomerové) těsnění odpovídající normě ČSN EN 681-1. Při změně profilu v šachtě bude šachtou procházet větší profil dolním úsekem. Horní plocha podesty má spád 3% do středu šachty a bude z betonu, natřená ochranným nátěrem na betonové konstrukce vhodným pro styk s odpadní vodou. Spáry mezi prefabrikovanými šachtovými dílci budou zamazány maltovou směsí (např. ERGELIT). Vzorový výkres viz příloha D.1.</w:t>
      </w:r>
      <w:r w:rsidR="00137409" w:rsidRPr="008B0FC3">
        <w:t>7</w:t>
      </w:r>
      <w:r w:rsidRPr="008B0FC3">
        <w:t>.</w:t>
      </w:r>
      <w:r w:rsidR="00137409" w:rsidRPr="008B0FC3">
        <w:t>3</w:t>
      </w:r>
      <w:r w:rsidRPr="008B0FC3">
        <w:t xml:space="preserve"> Vzorová prefabrikovaná revizní šachta DN 1500.</w:t>
      </w:r>
    </w:p>
    <w:p w14:paraId="18A1EC09" w14:textId="770DEEF2" w:rsidR="002C5AAC" w:rsidRDefault="002C5AAC" w:rsidP="002C5AAC">
      <w:pPr>
        <w:pStyle w:val="AqpText"/>
      </w:pPr>
      <w:r w:rsidRPr="008B0FC3">
        <w:t>Technické řešení je vykresleno a popsáno v příloze D.1.</w:t>
      </w:r>
      <w:r w:rsidR="00137409" w:rsidRPr="008B0FC3">
        <w:t>6</w:t>
      </w:r>
      <w:r w:rsidRPr="008B0FC3">
        <w:t xml:space="preserve"> </w:t>
      </w:r>
      <w:r w:rsidR="00137409" w:rsidRPr="008B0FC3">
        <w:t>V</w:t>
      </w:r>
      <w:r w:rsidRPr="008B0FC3">
        <w:t>ýpis prefabrikátů. Celá konstrukce šachty musí být provedena jako vodonepropustná.</w:t>
      </w:r>
    </w:p>
    <w:p w14:paraId="69E91170" w14:textId="77777777" w:rsidR="008B0FC3" w:rsidRPr="008B0FC3" w:rsidRDefault="008B0FC3" w:rsidP="002C5AAC">
      <w:pPr>
        <w:pStyle w:val="AqpText"/>
      </w:pPr>
    </w:p>
    <w:p w14:paraId="16E8C8D3" w14:textId="77777777" w:rsidR="002C5AAC" w:rsidRPr="008B0FC3" w:rsidRDefault="002C5AAC" w:rsidP="002C5AAC">
      <w:pPr>
        <w:pStyle w:val="AqpText"/>
        <w:rPr>
          <w:u w:val="single"/>
        </w:rPr>
      </w:pPr>
      <w:r w:rsidRPr="008B0FC3">
        <w:rPr>
          <w:u w:val="single"/>
        </w:rPr>
        <w:lastRenderedPageBreak/>
        <w:t>Stupadla</w:t>
      </w:r>
    </w:p>
    <w:p w14:paraId="7B6CF8ED" w14:textId="77777777" w:rsidR="002C5AAC" w:rsidRPr="008B0FC3" w:rsidRDefault="002C5AAC" w:rsidP="002C5AAC">
      <w:pPr>
        <w:pStyle w:val="AqpText"/>
      </w:pPr>
      <w:r w:rsidRPr="008B0FC3">
        <w:t>Stupadla budou použita typu KASI s ocelovým jádrem a povlakem z PE. Stupadla osazená v šachetních skružích budou mít standardní délku odpovídající příslušné ČSN. Stupadla v přechodovém kusu budou osazena odlišně od ostatních – horní zapuštěné (kapsové) bude osazeno asymetricky a dolní vidlicové bude mít zkrácenou délku.</w:t>
      </w:r>
    </w:p>
    <w:p w14:paraId="1E9697BB" w14:textId="7DC36965" w:rsidR="002C5AAC" w:rsidRPr="008B0FC3" w:rsidRDefault="002C5AAC" w:rsidP="002C5AAC">
      <w:pPr>
        <w:pStyle w:val="AqpText"/>
        <w:rPr>
          <w:u w:val="single"/>
        </w:rPr>
      </w:pPr>
      <w:r w:rsidRPr="008B0FC3">
        <w:rPr>
          <w:u w:val="single"/>
        </w:rPr>
        <w:t>Poklopy</w:t>
      </w:r>
    </w:p>
    <w:p w14:paraId="2002E54B" w14:textId="5369B02C" w:rsidR="002753FD" w:rsidRPr="008B0FC3" w:rsidRDefault="002753FD" w:rsidP="002753FD">
      <w:pPr>
        <w:pStyle w:val="AqpText"/>
      </w:pPr>
      <w:r w:rsidRPr="008B0FC3">
        <w:t>Všechny revizní šachty budou osazeny šachtovými poklopy litinovými tř. D400 vzor Brno. Každá RŠ musí být vyskládána z prefabrikátů tak, aby pod rámem poklopu byl min. jeden vyrovnávací prstenec.</w:t>
      </w:r>
      <w:r w:rsidR="00B2506B">
        <w:t xml:space="preserve"> Maximální výška prstenců však nesmí přesáhnout 25 cm.</w:t>
      </w:r>
    </w:p>
    <w:p w14:paraId="2A233ECC" w14:textId="77777777" w:rsidR="008F2BC4" w:rsidRPr="008B0FC3" w:rsidRDefault="008F2BC4" w:rsidP="008F2BC4">
      <w:pPr>
        <w:pStyle w:val="Nadpis3"/>
      </w:pPr>
      <w:bookmarkStart w:id="38" w:name="_Toc53736212"/>
      <w:r w:rsidRPr="008B0FC3">
        <w:t>Atypické revizní šachty</w:t>
      </w:r>
      <w:bookmarkEnd w:id="38"/>
    </w:p>
    <w:p w14:paraId="252CD5B4" w14:textId="2FE3B0C5" w:rsidR="008F2BC4" w:rsidRPr="008B0FC3" w:rsidRDefault="00620E33" w:rsidP="002753FD">
      <w:pPr>
        <w:pStyle w:val="AqpText"/>
      </w:pPr>
      <w:r w:rsidRPr="008B0FC3">
        <w:t>J</w:t>
      </w:r>
      <w:r w:rsidR="00455BA1" w:rsidRPr="008B0FC3">
        <w:t>sou</w:t>
      </w:r>
      <w:r w:rsidRPr="008B0FC3">
        <w:t xml:space="preserve"> navržen</w:t>
      </w:r>
      <w:r w:rsidR="00455BA1" w:rsidRPr="008B0FC3">
        <w:t>y</w:t>
      </w:r>
      <w:r w:rsidR="00154A07" w:rsidRPr="008B0FC3">
        <w:t xml:space="preserve"> </w:t>
      </w:r>
      <w:r w:rsidR="0056065C" w:rsidRPr="008B0FC3">
        <w:t>2</w:t>
      </w:r>
      <w:r w:rsidRPr="008B0FC3">
        <w:t xml:space="preserve"> </w:t>
      </w:r>
      <w:r w:rsidR="003842F9" w:rsidRPr="008B0FC3">
        <w:t>šach</w:t>
      </w:r>
      <w:r w:rsidR="00455BA1" w:rsidRPr="008B0FC3">
        <w:t>ty</w:t>
      </w:r>
      <w:r w:rsidR="003842F9" w:rsidRPr="008B0FC3">
        <w:t xml:space="preserve"> s </w:t>
      </w:r>
      <w:r w:rsidRPr="008B0FC3">
        <w:t>atypick</w:t>
      </w:r>
      <w:r w:rsidR="003842F9" w:rsidRPr="008B0FC3">
        <w:t>ým</w:t>
      </w:r>
      <w:r w:rsidRPr="008B0FC3">
        <w:t xml:space="preserve"> </w:t>
      </w:r>
      <w:r w:rsidR="003842F9" w:rsidRPr="008B0FC3">
        <w:t>dnem</w:t>
      </w:r>
      <w:r w:rsidR="00154A07" w:rsidRPr="008B0FC3">
        <w:t xml:space="preserve"> (šachty </w:t>
      </w:r>
      <w:r w:rsidR="003842F9" w:rsidRPr="008B0FC3">
        <w:t>Š</w:t>
      </w:r>
      <w:r w:rsidR="0056065C" w:rsidRPr="008B0FC3">
        <w:t>6</w:t>
      </w:r>
      <w:r w:rsidR="00455BA1" w:rsidRPr="008B0FC3">
        <w:t xml:space="preserve"> a</w:t>
      </w:r>
      <w:r w:rsidR="003842F9" w:rsidRPr="008B0FC3">
        <w:t xml:space="preserve"> </w:t>
      </w:r>
      <w:r w:rsidR="0056065C" w:rsidRPr="008B0FC3">
        <w:t>Š6</w:t>
      </w:r>
      <w:r w:rsidR="00455BA1" w:rsidRPr="008B0FC3">
        <w:t xml:space="preserve">a). </w:t>
      </w:r>
      <w:r w:rsidRPr="008B0FC3">
        <w:t xml:space="preserve">Každá šachta je tvořena monolitickým dnem, zákrytovou deskou (staveništní prefabrikát) a vstupním komínem z prefabrikovaných dílců. </w:t>
      </w:r>
      <w:r w:rsidR="00354D65" w:rsidRPr="008B0FC3">
        <w:t>Monolitické dno včetně stropu bude z betonu C30/37 XA1.</w:t>
      </w:r>
    </w:p>
    <w:p w14:paraId="440F19B5" w14:textId="43423DA1" w:rsidR="00D23828" w:rsidRPr="008B0FC3" w:rsidRDefault="00D23828" w:rsidP="002753FD">
      <w:pPr>
        <w:pStyle w:val="AqpText"/>
      </w:pPr>
      <w:r w:rsidRPr="008B0FC3">
        <w:t>Dno šachty Š</w:t>
      </w:r>
      <w:r w:rsidR="00455BA1" w:rsidRPr="008B0FC3">
        <w:t>6</w:t>
      </w:r>
      <w:r w:rsidRPr="008B0FC3">
        <w:t xml:space="preserve"> má vn</w:t>
      </w:r>
      <w:r w:rsidR="003301C6" w:rsidRPr="008B0FC3">
        <w:t>itřní</w:t>
      </w:r>
      <w:r w:rsidRPr="008B0FC3">
        <w:t xml:space="preserve"> půdorysné rozměry </w:t>
      </w:r>
      <w:r w:rsidR="003301C6" w:rsidRPr="008B0FC3">
        <w:t>1</w:t>
      </w:r>
      <w:r w:rsidRPr="008B0FC3">
        <w:t>,</w:t>
      </w:r>
      <w:r w:rsidR="00455BA1" w:rsidRPr="008B0FC3">
        <w:t>80</w:t>
      </w:r>
      <w:r w:rsidRPr="008B0FC3">
        <w:t xml:space="preserve"> x </w:t>
      </w:r>
      <w:r w:rsidR="003301C6" w:rsidRPr="008B0FC3">
        <w:t>1</w:t>
      </w:r>
      <w:r w:rsidRPr="008B0FC3">
        <w:t>,</w:t>
      </w:r>
      <w:r w:rsidR="0024620D" w:rsidRPr="008B0FC3">
        <w:t>2</w:t>
      </w:r>
      <w:r w:rsidRPr="008B0FC3">
        <w:t>0 m</w:t>
      </w:r>
      <w:r w:rsidR="003842F9" w:rsidRPr="008B0FC3">
        <w:t xml:space="preserve"> a výšku</w:t>
      </w:r>
      <w:r w:rsidRPr="008B0FC3">
        <w:t xml:space="preserve"> </w:t>
      </w:r>
      <w:r w:rsidR="0024620D" w:rsidRPr="008B0FC3">
        <w:t>2</w:t>
      </w:r>
      <w:r w:rsidRPr="008B0FC3">
        <w:t>,</w:t>
      </w:r>
      <w:r w:rsidR="00E24AD3" w:rsidRPr="008B0FC3">
        <w:t>32</w:t>
      </w:r>
      <w:r w:rsidRPr="008B0FC3">
        <w:t xml:space="preserve"> m. Dno a stěny mají tloušťku 0,30 m, strop (staveništní prefabrikát) má tloušťku 0,25 m. </w:t>
      </w:r>
      <w:r w:rsidR="0024620D" w:rsidRPr="008B0FC3">
        <w:t xml:space="preserve">Kyneta bude tvořena čedičovou radiální tvarovkou pro </w:t>
      </w:r>
      <w:r w:rsidR="007079C9" w:rsidRPr="008B0FC3">
        <w:t xml:space="preserve">kruhové </w:t>
      </w:r>
      <w:r w:rsidR="0024620D" w:rsidRPr="008B0FC3">
        <w:t>potrubí DN 1000</w:t>
      </w:r>
      <w:r w:rsidR="003842F9" w:rsidRPr="008B0FC3">
        <w:t>.</w:t>
      </w:r>
      <w:r w:rsidR="00354D65" w:rsidRPr="008B0FC3">
        <w:t xml:space="preserve"> </w:t>
      </w:r>
      <w:r w:rsidR="00E24AD3" w:rsidRPr="008B0FC3">
        <w:t xml:space="preserve">Šachta umožňuje odlehčení splaškových vod do stoky „Haasova“. </w:t>
      </w:r>
      <w:r w:rsidR="009B0F53">
        <w:t xml:space="preserve">Do horní třetiny kynety bude vloženo kapsové stupadlo pro lepší vlez do stoky a na stěnu šachty bude umístěno ocelové stupadlo s PE potahem pro možnost úchytu. </w:t>
      </w:r>
      <w:r w:rsidR="00354D65" w:rsidRPr="008B0FC3">
        <w:t>Detailní výkres šachty j</w:t>
      </w:r>
      <w:r w:rsidR="003842F9" w:rsidRPr="008B0FC3">
        <w:t>e vykreslen v příloze D.1.5.1, výkresy výztuže v přílohách D.1.5.2 a D.1.5.3.</w:t>
      </w:r>
    </w:p>
    <w:p w14:paraId="1259FAE4" w14:textId="2627F29C" w:rsidR="003842F9" w:rsidRDefault="003842F9" w:rsidP="002753FD">
      <w:pPr>
        <w:pStyle w:val="AqpText"/>
      </w:pPr>
      <w:r w:rsidRPr="008B0FC3">
        <w:t>Dno šachty Š</w:t>
      </w:r>
      <w:r w:rsidR="00E24AD3" w:rsidRPr="008B0FC3">
        <w:t>6a</w:t>
      </w:r>
      <w:r w:rsidRPr="008B0FC3">
        <w:t xml:space="preserve"> má vnitřní půdorysné rozměry </w:t>
      </w:r>
      <w:r w:rsidR="0024620D" w:rsidRPr="008B0FC3">
        <w:t>1</w:t>
      </w:r>
      <w:r w:rsidRPr="008B0FC3">
        <w:t>,</w:t>
      </w:r>
      <w:r w:rsidR="00E24AD3" w:rsidRPr="008B0FC3">
        <w:t>45</w:t>
      </w:r>
      <w:r w:rsidRPr="008B0FC3">
        <w:t xml:space="preserve"> x </w:t>
      </w:r>
      <w:r w:rsidR="0024620D" w:rsidRPr="008B0FC3">
        <w:t>1</w:t>
      </w:r>
      <w:r w:rsidRPr="008B0FC3">
        <w:t>,</w:t>
      </w:r>
      <w:r w:rsidR="00E24AD3" w:rsidRPr="008B0FC3">
        <w:t>0</w:t>
      </w:r>
      <w:r w:rsidRPr="008B0FC3">
        <w:t xml:space="preserve">0 m a výšku </w:t>
      </w:r>
      <w:r w:rsidR="0024620D" w:rsidRPr="008B0FC3">
        <w:t>2</w:t>
      </w:r>
      <w:r w:rsidRPr="008B0FC3">
        <w:t>,</w:t>
      </w:r>
      <w:r w:rsidR="00E24AD3" w:rsidRPr="008B0FC3">
        <w:t>33</w:t>
      </w:r>
      <w:r w:rsidRPr="008B0FC3">
        <w:t xml:space="preserve"> m. Dno a stěny mají tloušťku 0,30 m, strop (staveništní prefabrikát) má tloušťku 0,25 m. </w:t>
      </w:r>
      <w:r w:rsidR="00E24AD3" w:rsidRPr="008B0FC3">
        <w:t>K</w:t>
      </w:r>
      <w:r w:rsidRPr="008B0FC3">
        <w:t xml:space="preserve">yneta bude </w:t>
      </w:r>
      <w:r w:rsidR="00E24AD3" w:rsidRPr="008B0FC3">
        <w:t>tvořena provizorním betonovým</w:t>
      </w:r>
      <w:r w:rsidR="0024620D" w:rsidRPr="008B0FC3">
        <w:t xml:space="preserve"> </w:t>
      </w:r>
      <w:r w:rsidR="00E24AD3" w:rsidRPr="008B0FC3">
        <w:t>žlabem DN 700/1050.</w:t>
      </w:r>
      <w:r w:rsidR="0024620D" w:rsidRPr="008B0FC3">
        <w:t xml:space="preserve"> </w:t>
      </w:r>
      <w:r w:rsidR="00E24AD3" w:rsidRPr="008B0FC3">
        <w:t xml:space="preserve">Při rekonstrukci stoky „Haasova“ by měla být šachta opatřena čedičovým žlabem CN 0 1 pro vejčité potrubí DN 500/750. Přítok je navržen s odskokem 0,45 m. </w:t>
      </w:r>
      <w:r w:rsidR="009B0F53">
        <w:t xml:space="preserve">Stěna s přítokem bude opevněna čedičovým obkladem. </w:t>
      </w:r>
      <w:r w:rsidR="00997DC1" w:rsidRPr="008B0FC3">
        <w:t>Detailní výkres šachty je vykreslen v příloze D.1.5.4, výkresy výztuže v přílohách D.1.5.5 a D.1.5.6.</w:t>
      </w:r>
    </w:p>
    <w:p w14:paraId="19C936D9" w14:textId="03CDCFF1" w:rsidR="00F6138D" w:rsidRPr="008B0FC3" w:rsidRDefault="00F6138D" w:rsidP="002753FD">
      <w:pPr>
        <w:pStyle w:val="AqpText"/>
      </w:pPr>
      <w:r>
        <w:t xml:space="preserve">U stávající šachty ID 7223, která tvoří začátek řešeného úseku a má půdorysné rozměry 1,8 x 1,0 m, bude </w:t>
      </w:r>
      <w:r>
        <w:br/>
        <w:t>v monolitickém dně vybourán otvor o průměru cca 1,4 m pro vsazení nového ŽB potrubí DN 1000. Dále bude vybourán stávající žlábek a podesty</w:t>
      </w:r>
      <w:r w:rsidR="00DE79A3">
        <w:t>, které jsou</w:t>
      </w:r>
      <w:r>
        <w:t xml:space="preserve"> tvořený betonem a kameninou. V šachtě bude vybudován nový žlábek výšky </w:t>
      </w:r>
      <w:r w:rsidR="00DE79A3">
        <w:br/>
      </w:r>
      <w:r>
        <w:t>0,5 m a betonové podesty. Kyneta bude nově tvořena čedičovou radiální tvarovkou pro kruhové potrubí DN 1000</w:t>
      </w:r>
      <w:r w:rsidR="00DE79A3">
        <w:t xml:space="preserve"> o délce 1,0 m.</w:t>
      </w:r>
      <w:r>
        <w:t xml:space="preserve"> </w:t>
      </w:r>
      <w:r w:rsidR="00DE79A3">
        <w:t>Stávající dno má excentrický přítok a odtok. Nově je navrženo napřímení přítoku a odtoku.</w:t>
      </w:r>
      <w:r>
        <w:t xml:space="preserve"> </w:t>
      </w:r>
    </w:p>
    <w:p w14:paraId="02BA6CE2" w14:textId="77777777" w:rsidR="00620E33" w:rsidRPr="008B0FC3" w:rsidRDefault="00620E33" w:rsidP="002753FD">
      <w:pPr>
        <w:pStyle w:val="AqpText"/>
        <w:rPr>
          <w:u w:val="single"/>
        </w:rPr>
      </w:pPr>
      <w:r w:rsidRPr="008B0FC3">
        <w:rPr>
          <w:u w:val="single"/>
        </w:rPr>
        <w:t>Všeobecně platné zásady:</w:t>
      </w:r>
    </w:p>
    <w:p w14:paraId="44EFC33D" w14:textId="77777777" w:rsidR="00620E33" w:rsidRPr="008B0FC3" w:rsidRDefault="00620E33" w:rsidP="00620E33">
      <w:pPr>
        <w:pStyle w:val="AqpText"/>
        <w:numPr>
          <w:ilvl w:val="0"/>
          <w:numId w:val="10"/>
        </w:numPr>
      </w:pPr>
      <w:r w:rsidRPr="008B0FC3">
        <w:t>Stupadla navazující na vstupní komín budou typu KASI s ocelovým jádrem a povlakem z</w:t>
      </w:r>
      <w:r w:rsidR="00F21F99" w:rsidRPr="008B0FC3">
        <w:t> </w:t>
      </w:r>
      <w:r w:rsidRPr="008B0FC3">
        <w:t>PE</w:t>
      </w:r>
      <w:r w:rsidR="00F21F99" w:rsidRPr="008B0FC3">
        <w:t>.</w:t>
      </w:r>
    </w:p>
    <w:p w14:paraId="3D21CA4A" w14:textId="77777777" w:rsidR="00184BD3" w:rsidRPr="008B0FC3" w:rsidRDefault="00184BD3" w:rsidP="00620E33">
      <w:pPr>
        <w:pStyle w:val="AqpText"/>
        <w:numPr>
          <w:ilvl w:val="0"/>
          <w:numId w:val="10"/>
        </w:numPr>
      </w:pPr>
      <w:r w:rsidRPr="008B0FC3">
        <w:t>Podesty budou ve spádu 3</w:t>
      </w:r>
      <w:r w:rsidR="00F21F99" w:rsidRPr="008B0FC3">
        <w:t xml:space="preserve"> </w:t>
      </w:r>
      <w:r w:rsidRPr="008B0FC3">
        <w:t xml:space="preserve">% směrem k potrubí. </w:t>
      </w:r>
    </w:p>
    <w:p w14:paraId="545A3C2B" w14:textId="77777777" w:rsidR="00184BD3" w:rsidRPr="008B0FC3" w:rsidRDefault="00184BD3" w:rsidP="00184BD3">
      <w:pPr>
        <w:pStyle w:val="AqpText"/>
        <w:numPr>
          <w:ilvl w:val="0"/>
          <w:numId w:val="10"/>
        </w:numPr>
      </w:pPr>
      <w:r w:rsidRPr="008B0FC3">
        <w:t>Vnitřní povrchy šachty budou ošetřeny ochranným nátěrem (např.</w:t>
      </w:r>
      <w:r w:rsidRPr="008B0FC3">
        <w:rPr>
          <w:rFonts w:cs="Arial Narrow"/>
        </w:rPr>
        <w:t xml:space="preserve"> PCI Kanadicht)</w:t>
      </w:r>
      <w:r w:rsidRPr="008B0FC3">
        <w:t>.</w:t>
      </w:r>
    </w:p>
    <w:p w14:paraId="24C31BCF" w14:textId="77777777" w:rsidR="00620E33" w:rsidRPr="008B0FC3" w:rsidRDefault="00184BD3" w:rsidP="00620E33">
      <w:pPr>
        <w:pStyle w:val="AqpText"/>
        <w:numPr>
          <w:ilvl w:val="0"/>
          <w:numId w:val="10"/>
        </w:numPr>
      </w:pPr>
      <w:r w:rsidRPr="008B0FC3">
        <w:t>Spáry mezi prefabrikovanými šachtovými dílci budou zamáznuty maltovou směsí (např.</w:t>
      </w:r>
      <w:r w:rsidRPr="008B0FC3">
        <w:rPr>
          <w:rFonts w:cs="Arial Narrow"/>
        </w:rPr>
        <w:t xml:space="preserve"> ERGELIT)</w:t>
      </w:r>
    </w:p>
    <w:p w14:paraId="6C0E9409" w14:textId="77777777" w:rsidR="00184BD3" w:rsidRPr="008B0FC3" w:rsidRDefault="00184BD3" w:rsidP="00620E33">
      <w:pPr>
        <w:pStyle w:val="AqpText"/>
        <w:numPr>
          <w:ilvl w:val="0"/>
          <w:numId w:val="10"/>
        </w:numPr>
      </w:pPr>
      <w:r w:rsidRPr="008B0FC3">
        <w:t xml:space="preserve">Těsnění pracovní spáry bude provedeno těsnícími bobtnavými pásky (např. </w:t>
      </w:r>
      <w:r w:rsidRPr="008B0FC3">
        <w:rPr>
          <w:rFonts w:cs="Arial Narrow"/>
        </w:rPr>
        <w:t>SIKA, ADEKA)</w:t>
      </w:r>
    </w:p>
    <w:p w14:paraId="0652142F" w14:textId="77777777" w:rsidR="00184BD3" w:rsidRPr="008B0FC3" w:rsidRDefault="00184BD3" w:rsidP="00184BD3">
      <w:pPr>
        <w:pStyle w:val="AqpText"/>
        <w:numPr>
          <w:ilvl w:val="0"/>
          <w:numId w:val="10"/>
        </w:numPr>
      </w:pPr>
      <w:r w:rsidRPr="008B0FC3">
        <w:rPr>
          <w:rFonts w:cs="Arial Narrow"/>
        </w:rPr>
        <w:t>Šachta jako celek bude vodonepropustná.</w:t>
      </w:r>
    </w:p>
    <w:p w14:paraId="15DD0CBE" w14:textId="77777777" w:rsidR="00184BD3" w:rsidRPr="008B0FC3" w:rsidRDefault="007303F2" w:rsidP="007303F2">
      <w:pPr>
        <w:pStyle w:val="Nadpis2"/>
      </w:pPr>
      <w:bookmarkStart w:id="39" w:name="_Toc53736213"/>
      <w:r w:rsidRPr="008B0FC3">
        <w:lastRenderedPageBreak/>
        <w:t>Napojení domovních přípojek a uličních vpustí</w:t>
      </w:r>
      <w:bookmarkEnd w:id="39"/>
    </w:p>
    <w:p w14:paraId="5C3E9B4E" w14:textId="4BFBA0ED" w:rsidR="00D272AF" w:rsidRPr="008B0FC3" w:rsidRDefault="00D272AF" w:rsidP="00D272AF">
      <w:pPr>
        <w:pStyle w:val="AqpText"/>
      </w:pPr>
      <w:r w:rsidRPr="008B0FC3">
        <w:t>Součástí rekonstrukce stok</w:t>
      </w:r>
      <w:r w:rsidR="007A23BF" w:rsidRPr="008B0FC3">
        <w:t xml:space="preserve"> (SO </w:t>
      </w:r>
      <w:r w:rsidR="0018005B" w:rsidRPr="008B0FC3">
        <w:t>311 Kanalizace</w:t>
      </w:r>
      <w:r w:rsidR="007A23BF" w:rsidRPr="008B0FC3">
        <w:t>)</w:t>
      </w:r>
      <w:r w:rsidRPr="008B0FC3">
        <w:t xml:space="preserve"> </w:t>
      </w:r>
      <w:r w:rsidR="007A23BF" w:rsidRPr="008B0FC3">
        <w:t>jsou</w:t>
      </w:r>
      <w:r w:rsidRPr="008B0FC3">
        <w:t xml:space="preserve"> </w:t>
      </w:r>
      <w:r w:rsidR="007A23BF" w:rsidRPr="008B0FC3">
        <w:t>odbočky</w:t>
      </w:r>
      <w:r w:rsidRPr="008B0FC3">
        <w:t xml:space="preserve"> pro domovní přípojky a uliční vpust</w:t>
      </w:r>
      <w:r w:rsidR="003E6433" w:rsidRPr="008B0FC3">
        <w:t>i.</w:t>
      </w:r>
      <w:r w:rsidRPr="008B0FC3">
        <w:t xml:space="preserve"> </w:t>
      </w:r>
      <w:r w:rsidR="007A23BF" w:rsidRPr="008B0FC3">
        <w:t xml:space="preserve">Domovní přípojky jsou součástí SO </w:t>
      </w:r>
      <w:r w:rsidR="0018005B" w:rsidRPr="008B0FC3">
        <w:t>320 Kanalizační přípojky</w:t>
      </w:r>
      <w:r w:rsidR="007A23BF" w:rsidRPr="008B0FC3">
        <w:t xml:space="preserve"> a uliční vpusti jsou součástí SO </w:t>
      </w:r>
      <w:r w:rsidR="0018005B" w:rsidRPr="008B0FC3">
        <w:t>101.1 Komunikace ul. Stránského – odvodnění</w:t>
      </w:r>
      <w:r w:rsidRPr="008B0FC3">
        <w:t>.</w:t>
      </w:r>
      <w:r w:rsidR="00311074" w:rsidRPr="008B0FC3">
        <w:t xml:space="preserve"> </w:t>
      </w:r>
      <w:r w:rsidR="00E12876" w:rsidRPr="008B0FC3">
        <w:t xml:space="preserve">Odbočení je </w:t>
      </w:r>
      <w:r w:rsidR="00593656" w:rsidRPr="008B0FC3">
        <w:t>na stoce „</w:t>
      </w:r>
      <w:r w:rsidR="0018005B" w:rsidRPr="008B0FC3">
        <w:t>Stránského</w:t>
      </w:r>
      <w:r w:rsidR="00950B5D" w:rsidRPr="008B0FC3">
        <w:t xml:space="preserve">“ </w:t>
      </w:r>
      <w:r w:rsidR="00E12876" w:rsidRPr="008B0FC3">
        <w:t xml:space="preserve">provedeno jako </w:t>
      </w:r>
      <w:r w:rsidR="00593656" w:rsidRPr="008B0FC3">
        <w:t xml:space="preserve">navrtávka a napojovací element </w:t>
      </w:r>
      <w:r w:rsidR="00975DA7">
        <w:t>C</w:t>
      </w:r>
      <w:r w:rsidR="00593656" w:rsidRPr="008B0FC3">
        <w:t xml:space="preserve"> pro kameninové potrubí.</w:t>
      </w:r>
    </w:p>
    <w:p w14:paraId="68D8E7B5" w14:textId="77777777" w:rsidR="007303F2" w:rsidRPr="008B0FC3" w:rsidRDefault="007303F2" w:rsidP="007303F2">
      <w:pPr>
        <w:pStyle w:val="Nadpis3"/>
      </w:pPr>
      <w:bookmarkStart w:id="40" w:name="_Toc53736214"/>
      <w:r w:rsidRPr="008B0FC3">
        <w:t>Napojení domovních přípojek</w:t>
      </w:r>
      <w:bookmarkEnd w:id="40"/>
    </w:p>
    <w:p w14:paraId="643E0BEE" w14:textId="77777777" w:rsidR="003511B6" w:rsidRPr="008B0FC3" w:rsidRDefault="007303F2" w:rsidP="007303F2">
      <w:pPr>
        <w:pStyle w:val="AqpText"/>
      </w:pPr>
      <w:r w:rsidRPr="008B0FC3">
        <w:t>V rámci tohoto stavebního objektu (SO 01) budou vy</w:t>
      </w:r>
      <w:r w:rsidR="00BF6F4E" w:rsidRPr="008B0FC3">
        <w:t>sazeny odbočky pro nové domovní přípojky:</w:t>
      </w:r>
    </w:p>
    <w:p w14:paraId="3B5C88FF" w14:textId="765B3C34" w:rsidR="00593656" w:rsidRPr="008B0FC3" w:rsidRDefault="00593656" w:rsidP="00593656">
      <w:pPr>
        <w:pStyle w:val="AqpText"/>
        <w:numPr>
          <w:ilvl w:val="0"/>
          <w:numId w:val="21"/>
        </w:numPr>
        <w:tabs>
          <w:tab w:val="left" w:pos="6804"/>
        </w:tabs>
      </w:pPr>
      <w:r w:rsidRPr="008B0FC3">
        <w:t xml:space="preserve">Napojovací element </w:t>
      </w:r>
      <w:r w:rsidR="00975DA7">
        <w:t>C</w:t>
      </w:r>
      <w:r w:rsidRPr="008B0FC3">
        <w:t xml:space="preserve"> pro KT potrubí DN 200</w:t>
      </w:r>
      <w:r w:rsidRPr="008B0FC3">
        <w:tab/>
      </w:r>
      <w:r w:rsidR="0018005B" w:rsidRPr="008B0FC3">
        <w:t xml:space="preserve">  8</w:t>
      </w:r>
      <w:r w:rsidRPr="008B0FC3">
        <w:t xml:space="preserve"> ks</w:t>
      </w:r>
    </w:p>
    <w:p w14:paraId="680068D0" w14:textId="12472125" w:rsidR="00593656" w:rsidRPr="008B0FC3" w:rsidRDefault="00593656" w:rsidP="00593656">
      <w:pPr>
        <w:pStyle w:val="AqpText"/>
        <w:numPr>
          <w:ilvl w:val="0"/>
          <w:numId w:val="21"/>
        </w:numPr>
        <w:tabs>
          <w:tab w:val="left" w:pos="6804"/>
        </w:tabs>
      </w:pPr>
      <w:r w:rsidRPr="008B0FC3">
        <w:t xml:space="preserve">Napojovací element </w:t>
      </w:r>
      <w:r w:rsidR="00975DA7">
        <w:t>C</w:t>
      </w:r>
      <w:r w:rsidRPr="008B0FC3">
        <w:t xml:space="preserve"> pro KT potrubí DN 150</w:t>
      </w:r>
      <w:r w:rsidRPr="008B0FC3">
        <w:tab/>
      </w:r>
      <w:r w:rsidR="0018005B" w:rsidRPr="008B0FC3">
        <w:t>35</w:t>
      </w:r>
      <w:r w:rsidRPr="008B0FC3">
        <w:t xml:space="preserve"> ks</w:t>
      </w:r>
    </w:p>
    <w:p w14:paraId="3FB47681" w14:textId="77777777" w:rsidR="003511B6" w:rsidRPr="008B0FC3" w:rsidRDefault="003511B6" w:rsidP="003511B6">
      <w:pPr>
        <w:pStyle w:val="Nadpis3"/>
      </w:pPr>
      <w:bookmarkStart w:id="41" w:name="_Toc53736215"/>
      <w:r w:rsidRPr="008B0FC3">
        <w:t>Napojení uličních vpustí</w:t>
      </w:r>
      <w:bookmarkEnd w:id="41"/>
    </w:p>
    <w:p w14:paraId="09330BE2" w14:textId="2682DD4D" w:rsidR="009875DC" w:rsidRPr="008B0FC3" w:rsidRDefault="00533C8E" w:rsidP="00184BD3">
      <w:pPr>
        <w:pStyle w:val="AqpText"/>
      </w:pPr>
      <w:r w:rsidRPr="008B0FC3">
        <w:t xml:space="preserve">V rámci tohoto stavebního objektu (SO </w:t>
      </w:r>
      <w:r w:rsidR="0018005B" w:rsidRPr="008B0FC3">
        <w:t>311 Kanalizace</w:t>
      </w:r>
      <w:r w:rsidRPr="008B0FC3">
        <w:t xml:space="preserve">) budou vysazeny odbočky pro </w:t>
      </w:r>
      <w:r w:rsidR="00FC131E" w:rsidRPr="008B0FC3">
        <w:t>obnovované</w:t>
      </w:r>
      <w:r w:rsidRPr="008B0FC3">
        <w:t xml:space="preserve"> uliční vpusti</w:t>
      </w:r>
      <w:r w:rsidR="003F6133" w:rsidRPr="008B0FC3">
        <w:t xml:space="preserve"> a žlaby</w:t>
      </w:r>
      <w:r w:rsidRPr="008B0FC3">
        <w:t>:</w:t>
      </w:r>
    </w:p>
    <w:p w14:paraId="065B887D" w14:textId="23234D92" w:rsidR="00593656" w:rsidRPr="008B0FC3" w:rsidRDefault="00593656" w:rsidP="00593656">
      <w:pPr>
        <w:pStyle w:val="AqpText"/>
        <w:numPr>
          <w:ilvl w:val="0"/>
          <w:numId w:val="36"/>
        </w:numPr>
        <w:tabs>
          <w:tab w:val="left" w:pos="6804"/>
        </w:tabs>
      </w:pPr>
      <w:r w:rsidRPr="008B0FC3">
        <w:t xml:space="preserve">Napojovací element </w:t>
      </w:r>
      <w:r w:rsidR="00975DA7">
        <w:t>C</w:t>
      </w:r>
      <w:r w:rsidRPr="008B0FC3">
        <w:t xml:space="preserve"> pro KT potrubí DN 150</w:t>
      </w:r>
      <w:r w:rsidRPr="008B0FC3">
        <w:tab/>
      </w:r>
      <w:r w:rsidR="0018005B" w:rsidRPr="008B0FC3">
        <w:t>20</w:t>
      </w:r>
      <w:r w:rsidRPr="008B0FC3">
        <w:t xml:space="preserve"> ks</w:t>
      </w:r>
    </w:p>
    <w:p w14:paraId="2A2DA8E3" w14:textId="77777777" w:rsidR="009875DC" w:rsidRPr="008B0FC3" w:rsidRDefault="009875DC" w:rsidP="009875DC">
      <w:pPr>
        <w:pStyle w:val="Nadpis2"/>
      </w:pPr>
      <w:bookmarkStart w:id="42" w:name="_Toc53736216"/>
      <w:r w:rsidRPr="008B0FC3">
        <w:t>Potrubí</w:t>
      </w:r>
      <w:bookmarkEnd w:id="42"/>
    </w:p>
    <w:p w14:paraId="34B4D898" w14:textId="41F5CC85" w:rsidR="007D34AB" w:rsidRPr="008B0FC3" w:rsidRDefault="007D34AB" w:rsidP="009875DC">
      <w:pPr>
        <w:pStyle w:val="AqpText"/>
      </w:pPr>
      <w:r w:rsidRPr="008B0FC3">
        <w:t>Na stoce „</w:t>
      </w:r>
      <w:r w:rsidR="0053773E" w:rsidRPr="008B0FC3">
        <w:t>Stránského</w:t>
      </w:r>
      <w:r w:rsidRPr="008B0FC3">
        <w:t>“</w:t>
      </w:r>
      <w:r w:rsidR="0053773E" w:rsidRPr="008B0FC3">
        <w:t xml:space="preserve"> (úsek Š2-š7223)</w:t>
      </w:r>
      <w:r w:rsidRPr="008B0FC3">
        <w:t xml:space="preserve"> je navrženo </w:t>
      </w:r>
      <w:r w:rsidR="0053773E" w:rsidRPr="008B0FC3">
        <w:t>železo</w:t>
      </w:r>
      <w:r w:rsidRPr="008B0FC3">
        <w:t xml:space="preserve">betonové potrubí </w:t>
      </w:r>
      <w:r w:rsidR="0053773E" w:rsidRPr="008B0FC3">
        <w:t>kruhového</w:t>
      </w:r>
      <w:r w:rsidRPr="008B0FC3">
        <w:t xml:space="preserve"> profilu s</w:t>
      </w:r>
      <w:r w:rsidR="0053773E" w:rsidRPr="008B0FC3">
        <w:t> </w:t>
      </w:r>
      <w:r w:rsidRPr="008B0FC3">
        <w:t>čedičov</w:t>
      </w:r>
      <w:r w:rsidR="0053773E" w:rsidRPr="008B0FC3">
        <w:t>ou výstelkou</w:t>
      </w:r>
      <w:r w:rsidRPr="008B0FC3">
        <w:t xml:space="preserve"> DN</w:t>
      </w:r>
      <w:r w:rsidR="0053773E" w:rsidRPr="008B0FC3">
        <w:t xml:space="preserve"> 1000 o celkové délce 287,65 m.</w:t>
      </w:r>
    </w:p>
    <w:p w14:paraId="0DB3E7FB" w14:textId="38D20D6A" w:rsidR="0053773E" w:rsidRPr="008B0FC3" w:rsidRDefault="0053773E" w:rsidP="009875DC">
      <w:pPr>
        <w:pStyle w:val="AqpText"/>
      </w:pPr>
      <w:r w:rsidRPr="008B0FC3">
        <w:t>Na propoji „Haasova“ je navrženo betonové potrubí vejčitého profilu s čedičovým žlabem DN 500/750 o celkové délce 7,00 m.</w:t>
      </w:r>
    </w:p>
    <w:p w14:paraId="29E2A5C2" w14:textId="7BD6F138" w:rsidR="00551E29" w:rsidRPr="008B0FC3" w:rsidRDefault="00732BC0" w:rsidP="00A92FA1">
      <w:pPr>
        <w:pStyle w:val="AqpText"/>
      </w:pPr>
      <w:r w:rsidRPr="008B0FC3">
        <w:t xml:space="preserve">Materiál je navržen v souladu s brněnskými kanalizačními standardy. </w:t>
      </w:r>
      <w:r w:rsidR="006246E7" w:rsidRPr="008B0FC3">
        <w:t xml:space="preserve">Dno rýhy bude srovnáno štěrkovým podsypem (frakce 16 – 32 mm) tloušťky 10 cm, na který bude dán podkladní beton tloušťky 10 cm. </w:t>
      </w:r>
      <w:r w:rsidR="00593FBB" w:rsidRPr="008B0FC3">
        <w:t>Železobetonové potrubí bude umístěno na betonové pražce a zalito do betonového sedla 120° dle rozměrů uvedených ve vzorovém příčném řezu uložení ŽB kruhového potrubí – příloha D.1.7.</w:t>
      </w:r>
      <w:r w:rsidR="0053773E" w:rsidRPr="008B0FC3">
        <w:t>1</w:t>
      </w:r>
      <w:r w:rsidR="00593FBB" w:rsidRPr="008B0FC3">
        <w:t xml:space="preserve">. </w:t>
      </w:r>
      <w:r w:rsidR="007D34AB" w:rsidRPr="008B0FC3">
        <w:t>Betonové potrubí musí být zalito cementopopílkovou směsí (KOPOS) dle rozměrů ve vzorovém příčném řezu uložení betonového vejčitého potrubí – příloha D.1.7.</w:t>
      </w:r>
      <w:r w:rsidR="0053773E" w:rsidRPr="008B0FC3">
        <w:t>2</w:t>
      </w:r>
      <w:r w:rsidR="007D34AB" w:rsidRPr="008B0FC3">
        <w:t>.</w:t>
      </w:r>
    </w:p>
    <w:p w14:paraId="76FDDA9D" w14:textId="77777777" w:rsidR="00B56AA0" w:rsidRPr="008B0FC3" w:rsidRDefault="00576657" w:rsidP="00A92FA1">
      <w:pPr>
        <w:pStyle w:val="AqpText"/>
      </w:pPr>
      <w:r w:rsidRPr="008B0FC3">
        <w:t>Pro převedení splaškových vod během stavby je navrženo d</w:t>
      </w:r>
      <w:r w:rsidR="00B56AA0" w:rsidRPr="008B0FC3">
        <w:t xml:space="preserve">očasné provizorní potrubí </w:t>
      </w:r>
      <w:r w:rsidRPr="008B0FC3">
        <w:t xml:space="preserve">PVC DN </w:t>
      </w:r>
      <w:r w:rsidR="00733E39" w:rsidRPr="008B0FC3">
        <w:t>30</w:t>
      </w:r>
      <w:r w:rsidRPr="008B0FC3">
        <w:t xml:space="preserve">0 délky </w:t>
      </w:r>
      <w:r w:rsidR="00373C0E" w:rsidRPr="008B0FC3">
        <w:t>6</w:t>
      </w:r>
      <w:r w:rsidRPr="008B0FC3">
        <w:t>,0 m.</w:t>
      </w:r>
    </w:p>
    <w:p w14:paraId="03B8C2C2" w14:textId="77777777" w:rsidR="007303F2" w:rsidRPr="008B0FC3" w:rsidRDefault="009875DC" w:rsidP="009875DC">
      <w:pPr>
        <w:pStyle w:val="Nadpis2"/>
      </w:pPr>
      <w:bookmarkStart w:id="43" w:name="_Toc53736217"/>
      <w:r w:rsidRPr="008B0FC3">
        <w:t>Dotčení inženýrských sítí a ochranných pásem</w:t>
      </w:r>
      <w:bookmarkEnd w:id="43"/>
    </w:p>
    <w:p w14:paraId="62143A8E" w14:textId="2484FF57" w:rsidR="00816613" w:rsidRPr="008B0FC3" w:rsidRDefault="009875DC" w:rsidP="009875DC">
      <w:pPr>
        <w:pStyle w:val="AqpText"/>
      </w:pPr>
      <w:r w:rsidRPr="008B0FC3">
        <w:t>Dotčené inženýrské sítě jsou zakresleny v</w:t>
      </w:r>
      <w:r w:rsidR="00816613" w:rsidRPr="008B0FC3">
        <w:t> příslušn</w:t>
      </w:r>
      <w:r w:rsidR="00CF3B1F" w:rsidRPr="008B0FC3">
        <w:t>ých</w:t>
      </w:r>
      <w:r w:rsidR="00816613" w:rsidRPr="008B0FC3">
        <w:t xml:space="preserve"> </w:t>
      </w:r>
      <w:r w:rsidRPr="008B0FC3">
        <w:t>situac</w:t>
      </w:r>
      <w:r w:rsidR="00CF3B1F" w:rsidRPr="008B0FC3">
        <w:t>ích</w:t>
      </w:r>
      <w:r w:rsidR="00816613" w:rsidRPr="008B0FC3">
        <w:t xml:space="preserve"> (příloha D.1.2</w:t>
      </w:r>
      <w:r w:rsidR="00952DBA" w:rsidRPr="008B0FC3">
        <w:t xml:space="preserve">.1 a </w:t>
      </w:r>
      <w:r w:rsidR="00CF3B1F" w:rsidRPr="008B0FC3">
        <w:t>D.1.2.2</w:t>
      </w:r>
      <w:r w:rsidR="00816613" w:rsidRPr="008B0FC3">
        <w:t>)</w:t>
      </w:r>
      <w:r w:rsidRPr="008B0FC3">
        <w:t xml:space="preserve">. Poloha inženýrských sítí je zakreslena pouze s přesností odpovídající použité technické metodě a úrovni podkladů (3. třída). Možné odchylky jsou </w:t>
      </w:r>
      <w:r w:rsidRPr="008B0FC3">
        <w:sym w:font="Symbol" w:char="F0B1"/>
      </w:r>
      <w:r w:rsidRPr="008B0FC3">
        <w:t>0</w:t>
      </w:r>
      <w:r w:rsidR="00816613" w:rsidRPr="008B0FC3">
        <w:t>,</w:t>
      </w:r>
      <w:r w:rsidRPr="008B0FC3">
        <w:t xml:space="preserve">30 m na obě strany. Před zahájením stavby je proto nezbytné zajistit vytýčení jednotlivých IS příslušnými správci. </w:t>
      </w:r>
      <w:r w:rsidR="0053773E" w:rsidRPr="008B0FC3">
        <w:br/>
      </w:r>
      <w:r w:rsidRPr="008B0FC3">
        <w:t>V případě jakýchkoliv změn přesahujících hodnotu výše uvedené o</w:t>
      </w:r>
      <w:r w:rsidR="00CF3B1F" w:rsidRPr="008B0FC3">
        <w:t xml:space="preserve">dchylky je nutno ihned zastavit </w:t>
      </w:r>
      <w:r w:rsidRPr="008B0FC3">
        <w:t xml:space="preserve">práce </w:t>
      </w:r>
      <w:r w:rsidR="00952DBA" w:rsidRPr="008B0FC3">
        <w:br/>
      </w:r>
      <w:r w:rsidRPr="008B0FC3">
        <w:t>a informovat investora i projektanta a dohodnout další postup. Při zemních pracích je bezpodmínečně nutné respektovat požadavky příslušných správců IS.</w:t>
      </w:r>
    </w:p>
    <w:p w14:paraId="3D174EA0" w14:textId="77777777" w:rsidR="005C033E" w:rsidRPr="008B0FC3" w:rsidRDefault="005C033E" w:rsidP="00A92FA1">
      <w:pPr>
        <w:pStyle w:val="Nadpis2"/>
      </w:pPr>
      <w:bookmarkStart w:id="44" w:name="_Toc53736218"/>
      <w:r w:rsidRPr="008B0FC3">
        <w:lastRenderedPageBreak/>
        <w:t>Požadavky na kvalitu provedení</w:t>
      </w:r>
      <w:bookmarkEnd w:id="44"/>
    </w:p>
    <w:p w14:paraId="42301F53" w14:textId="77777777" w:rsidR="00E70311" w:rsidRPr="008B0FC3" w:rsidRDefault="005C033E" w:rsidP="00E70311">
      <w:pPr>
        <w:pStyle w:val="AqpText"/>
      </w:pPr>
      <w:r w:rsidRPr="008B0FC3">
        <w:t>Navržen</w:t>
      </w:r>
      <w:r w:rsidR="00CF3B1F" w:rsidRPr="008B0FC3">
        <w:t>é</w:t>
      </w:r>
      <w:r w:rsidRPr="008B0FC3">
        <w:t xml:space="preserve"> stok</w:t>
      </w:r>
      <w:r w:rsidR="00CF3B1F" w:rsidRPr="008B0FC3">
        <w:t>y</w:t>
      </w:r>
      <w:r w:rsidRPr="008B0FC3">
        <w:t xml:space="preserve"> musí být proveden</w:t>
      </w:r>
      <w:r w:rsidR="00CF3B1F" w:rsidRPr="008B0FC3">
        <w:t>y</w:t>
      </w:r>
      <w:r w:rsidRPr="008B0FC3">
        <w:t xml:space="preserve"> v nejvyšší kvalitě. Na stavbu je možno použít pouze typy potrubí předepsané projektem a v nejvyšší jakostní třídě. Před uložením potrubí do rýhy je nutno provést vizuální kontrolu kvality povrchu potrubí. Nelze připustit použití potrubí se zjevnými povrchovými vadami, které by mohly ohrozit statickou pevnost potrubí nebo jeho funkčnost.</w:t>
      </w:r>
      <w:r w:rsidR="00E70311" w:rsidRPr="008B0FC3">
        <w:t xml:space="preserve"> Po uložení potrubí bude provedena kontrola TV kamerou.</w:t>
      </w:r>
    </w:p>
    <w:p w14:paraId="4B2E8CC4" w14:textId="77777777" w:rsidR="005C033E" w:rsidRPr="008B0FC3" w:rsidRDefault="005C033E" w:rsidP="00A92FA1">
      <w:pPr>
        <w:pStyle w:val="Nadpis2"/>
      </w:pPr>
      <w:bookmarkStart w:id="45" w:name="_Toc53736219"/>
      <w:r w:rsidRPr="008B0FC3">
        <w:t>Zkouška vodotěsnosti</w:t>
      </w:r>
      <w:bookmarkEnd w:id="45"/>
    </w:p>
    <w:p w14:paraId="53DB1E55" w14:textId="77777777" w:rsidR="005C033E" w:rsidRPr="008B0FC3" w:rsidRDefault="005C033E" w:rsidP="005C033E">
      <w:pPr>
        <w:pStyle w:val="AqpText"/>
      </w:pPr>
      <w:r w:rsidRPr="008B0FC3">
        <w:t>Zkoušky vodotěsnosti budou provedeny na všech úsecích stokové sítě ještě před napojením přípojek. Vlastní zkouška bude provedena dle ČSN EN 1610 (Provádění stok a kanalizačních přípojek a jejich zkoušení).</w:t>
      </w:r>
    </w:p>
    <w:p w14:paraId="182788A2" w14:textId="77777777" w:rsidR="005C033E" w:rsidRPr="008B0FC3" w:rsidRDefault="005C033E" w:rsidP="005C033E">
      <w:pPr>
        <w:pStyle w:val="AqpText"/>
      </w:pPr>
      <w:r w:rsidRPr="008B0FC3">
        <w:t>Při negativním výsledku zkoušky je nutné zkoušku po odstranění závad (netěsností) opakovat. O výsledku zkoušky vodotěsnosti kanalizace nebo jejích části se provede záznam.</w:t>
      </w:r>
    </w:p>
    <w:p w14:paraId="3FB17BF4" w14:textId="77777777" w:rsidR="005C033E" w:rsidRPr="008B0FC3" w:rsidRDefault="005C033E" w:rsidP="00A92FA1">
      <w:pPr>
        <w:pStyle w:val="Nadpis2"/>
      </w:pPr>
      <w:bookmarkStart w:id="46" w:name="_Toc53736220"/>
      <w:r w:rsidRPr="008B0FC3">
        <w:t>Úprava režimu povrchových a podzemních vod a čerpání</w:t>
      </w:r>
      <w:bookmarkEnd w:id="46"/>
    </w:p>
    <w:p w14:paraId="16ED15F6" w14:textId="0372949F" w:rsidR="00BD0361" w:rsidRDefault="005C033E" w:rsidP="005C033E">
      <w:pPr>
        <w:pStyle w:val="AqpText"/>
      </w:pPr>
      <w:r w:rsidRPr="008B0FC3">
        <w:t>Ustálená hladina podzemní vody se dle provedeného průzkumu v místě stavby vyskytuje</w:t>
      </w:r>
      <w:r w:rsidR="007026C4" w:rsidRPr="008B0FC3">
        <w:t>, ale pod úrovní základové spáry</w:t>
      </w:r>
      <w:r w:rsidRPr="008B0FC3">
        <w:t>. Během stavby však nelze vyloučit možnost přítoku srážkových vod buď přímým spadem</w:t>
      </w:r>
      <w:r w:rsidR="00A92FA1" w:rsidRPr="008B0FC3">
        <w:t>,</w:t>
      </w:r>
      <w:r w:rsidRPr="008B0FC3">
        <w:t xml:space="preserve"> nebo odtokem </w:t>
      </w:r>
      <w:r w:rsidR="007026C4" w:rsidRPr="008B0FC3">
        <w:br/>
      </w:r>
      <w:r w:rsidRPr="008B0FC3">
        <w:t xml:space="preserve">z okolního povrchu, a proto je třeba udržovat vždy volný odtok směrem k přerušenému potrubí, aby mohla srážková voda odtékat volně ze staveniště. </w:t>
      </w:r>
      <w:r w:rsidR="00BD0361" w:rsidRPr="008B0FC3">
        <w:t>Výkop musí být ochráněn proti nátoku dešťových vod hrázkami. Uliční vpusti budou po dobu stavby ucpány.</w:t>
      </w:r>
      <w:r w:rsidR="00C310FA" w:rsidRPr="008B0FC3">
        <w:t xml:space="preserve"> Po skončení pracovní doby musí být položeno provizorní potrubí v právě rekonstruovaném úseku.</w:t>
      </w:r>
    </w:p>
    <w:p w14:paraId="5DBC494A" w14:textId="4991D731" w:rsidR="004B5019" w:rsidRPr="008B0FC3" w:rsidRDefault="004B5019" w:rsidP="005C033E">
      <w:pPr>
        <w:pStyle w:val="AqpText"/>
      </w:pPr>
      <w:r>
        <w:t xml:space="preserve">Rekonstruované potrubí bude v pracovní době ucpáno nafukovacím vakem v šachtě nad realizovaným úsekem. Splašková voda bude z této šachty čerpána do nejbližší níže položené šachty. Po skončení pracovní doby bude v právě rekonstruovaném úseku položeno provizorní potrubí a ucpání bude odstraněno. </w:t>
      </w:r>
    </w:p>
    <w:p w14:paraId="20703B70" w14:textId="1EDA13C6" w:rsidR="00D80075" w:rsidRPr="008B0FC3" w:rsidRDefault="00B11DBC" w:rsidP="00D80075">
      <w:pPr>
        <w:pStyle w:val="AqpText"/>
      </w:pPr>
      <w:r w:rsidRPr="008B0FC3">
        <w:t xml:space="preserve">Celková doba čerpání </w:t>
      </w:r>
      <w:r w:rsidR="003F00E0" w:rsidRPr="008B0FC3">
        <w:t xml:space="preserve">splaškových vod </w:t>
      </w:r>
      <w:r w:rsidRPr="008B0FC3">
        <w:t xml:space="preserve">se </w:t>
      </w:r>
      <w:r w:rsidR="00C310FA" w:rsidRPr="008B0FC3">
        <w:t xml:space="preserve">tedy </w:t>
      </w:r>
      <w:r w:rsidRPr="008B0FC3">
        <w:t xml:space="preserve">uvažuje </w:t>
      </w:r>
      <w:r w:rsidR="007026C4" w:rsidRPr="008B0FC3">
        <w:t>15</w:t>
      </w:r>
      <w:r w:rsidR="009C1C4B" w:rsidRPr="008B0FC3">
        <w:t>0</w:t>
      </w:r>
      <w:r w:rsidRPr="008B0FC3">
        <w:t xml:space="preserve">0 hod, průměrný přítok do 500 l/min a výška do 10 m. </w:t>
      </w:r>
      <w:r w:rsidR="00B0374C" w:rsidRPr="008B0FC3">
        <w:t xml:space="preserve">Čerpání vody z přívalových dešťů se uvažuje 60 hod, průměrný přítok 500 l/min a výška do 10 m. </w:t>
      </w:r>
      <w:r w:rsidR="00EE7AF7" w:rsidRPr="008B0FC3">
        <w:t>Čerpaní kanalizačních přípojek v řešeném úseku je popsáno v příloze D.2.1.</w:t>
      </w:r>
    </w:p>
    <w:p w14:paraId="0CA4EC97" w14:textId="77777777" w:rsidR="00774674" w:rsidRPr="008B0FC3" w:rsidRDefault="00774674" w:rsidP="00774674">
      <w:pPr>
        <w:pStyle w:val="Nadpis2"/>
      </w:pPr>
      <w:bookmarkStart w:id="47" w:name="_Toc53736221"/>
      <w:r w:rsidRPr="008B0FC3">
        <w:t>Rušení stávajících stok a objektů</w:t>
      </w:r>
      <w:bookmarkEnd w:id="47"/>
    </w:p>
    <w:p w14:paraId="2E151979" w14:textId="77777777" w:rsidR="00774674" w:rsidRPr="008B0FC3" w:rsidRDefault="00774674" w:rsidP="00774674">
      <w:pPr>
        <w:pStyle w:val="Nadpis3"/>
      </w:pPr>
      <w:bookmarkStart w:id="48" w:name="_Toc53736222"/>
      <w:r w:rsidRPr="008B0FC3">
        <w:t>Likvidované stoky</w:t>
      </w:r>
      <w:bookmarkEnd w:id="48"/>
    </w:p>
    <w:p w14:paraId="7A7F0EC5" w14:textId="77777777" w:rsidR="00D21412" w:rsidRPr="008B0FC3" w:rsidRDefault="00D21412" w:rsidP="00D21412">
      <w:pPr>
        <w:pStyle w:val="AqpText"/>
      </w:pPr>
      <w:r w:rsidRPr="008B0FC3">
        <w:t>Likvidace stávající stok</w:t>
      </w:r>
      <w:r w:rsidR="004C3BFE" w:rsidRPr="008B0FC3">
        <w:t>y je</w:t>
      </w:r>
      <w:r w:rsidRPr="008B0FC3">
        <w:t xml:space="preserve"> navržena takto:</w:t>
      </w:r>
    </w:p>
    <w:p w14:paraId="77669745" w14:textId="77777777" w:rsidR="00D21412" w:rsidRPr="008B0FC3" w:rsidRDefault="00D21412" w:rsidP="00D21412">
      <w:pPr>
        <w:pStyle w:val="AqpText"/>
        <w:numPr>
          <w:ilvl w:val="0"/>
          <w:numId w:val="11"/>
        </w:numPr>
      </w:pPr>
      <w:r w:rsidRPr="008B0FC3">
        <w:t>Stávající stok</w:t>
      </w:r>
      <w:r w:rsidR="004C3BFE" w:rsidRPr="008B0FC3">
        <w:t>a</w:t>
      </w:r>
      <w:r w:rsidR="002A42F0" w:rsidRPr="008B0FC3">
        <w:t>, která se nachází</w:t>
      </w:r>
      <w:r w:rsidRPr="008B0FC3">
        <w:t xml:space="preserve"> v tras</w:t>
      </w:r>
      <w:r w:rsidR="004C3BFE" w:rsidRPr="008B0FC3">
        <w:t>e</w:t>
      </w:r>
      <w:r w:rsidRPr="008B0FC3">
        <w:t xml:space="preserve"> nově navr</w:t>
      </w:r>
      <w:r w:rsidR="004C3BFE" w:rsidRPr="008B0FC3">
        <w:t>žené</w:t>
      </w:r>
      <w:r w:rsidRPr="008B0FC3">
        <w:t xml:space="preserve"> stok</w:t>
      </w:r>
      <w:r w:rsidR="004C3BFE" w:rsidRPr="008B0FC3">
        <w:t>y</w:t>
      </w:r>
      <w:r w:rsidRPr="008B0FC3">
        <w:t xml:space="preserve"> </w:t>
      </w:r>
      <w:r w:rsidR="002A42F0" w:rsidRPr="008B0FC3">
        <w:t xml:space="preserve">nebo v místě výkopu, </w:t>
      </w:r>
      <w:r w:rsidR="005A5433" w:rsidRPr="008B0FC3">
        <w:t>bud</w:t>
      </w:r>
      <w:r w:rsidR="004C3BFE" w:rsidRPr="008B0FC3">
        <w:t>e</w:t>
      </w:r>
      <w:r w:rsidRPr="008B0FC3">
        <w:t xml:space="preserve"> fyzicky odstraněn</w:t>
      </w:r>
      <w:r w:rsidR="004C3BFE" w:rsidRPr="008B0FC3">
        <w:t>a</w:t>
      </w:r>
      <w:r w:rsidRPr="008B0FC3">
        <w:t xml:space="preserve"> – vykopán</w:t>
      </w:r>
      <w:r w:rsidR="004C3BFE" w:rsidRPr="008B0FC3">
        <w:t>a</w:t>
      </w:r>
      <w:r w:rsidRPr="008B0FC3">
        <w:t xml:space="preserve"> ze země, odvezen</w:t>
      </w:r>
      <w:r w:rsidR="004C3BFE" w:rsidRPr="008B0FC3">
        <w:t>a</w:t>
      </w:r>
      <w:r w:rsidRPr="008B0FC3">
        <w:t xml:space="preserve"> a uložen</w:t>
      </w:r>
      <w:r w:rsidR="004C3BFE" w:rsidRPr="008B0FC3">
        <w:t>a</w:t>
      </w:r>
      <w:r w:rsidRPr="008B0FC3">
        <w:t xml:space="preserve"> na skládku.</w:t>
      </w:r>
    </w:p>
    <w:p w14:paraId="0EE25A0F" w14:textId="1E35BF94" w:rsidR="008B5871" w:rsidRPr="008B0FC3" w:rsidRDefault="00D21412" w:rsidP="008B5871">
      <w:pPr>
        <w:pStyle w:val="AqpText"/>
        <w:numPr>
          <w:ilvl w:val="0"/>
          <w:numId w:val="11"/>
        </w:numPr>
      </w:pPr>
      <w:r w:rsidRPr="008B0FC3">
        <w:t>Stávající stok</w:t>
      </w:r>
      <w:r w:rsidR="004C3BFE" w:rsidRPr="008B0FC3">
        <w:t>a</w:t>
      </w:r>
      <w:r w:rsidR="002A42F0" w:rsidRPr="008B0FC3">
        <w:t xml:space="preserve">, která se nachází </w:t>
      </w:r>
      <w:r w:rsidRPr="008B0FC3">
        <w:t>mimo tras</w:t>
      </w:r>
      <w:r w:rsidR="004C3BFE" w:rsidRPr="008B0FC3">
        <w:t>u nově navržené</w:t>
      </w:r>
      <w:r w:rsidRPr="008B0FC3">
        <w:t xml:space="preserve"> stok</w:t>
      </w:r>
      <w:r w:rsidR="004C3BFE" w:rsidRPr="008B0FC3">
        <w:t>y</w:t>
      </w:r>
      <w:r w:rsidRPr="008B0FC3">
        <w:t xml:space="preserve"> </w:t>
      </w:r>
      <w:r w:rsidR="008F4A86" w:rsidRPr="008B0FC3">
        <w:t>a</w:t>
      </w:r>
      <w:r w:rsidR="002A42F0" w:rsidRPr="008B0FC3">
        <w:t xml:space="preserve"> mimo výkop, </w:t>
      </w:r>
      <w:r w:rsidR="005A5433" w:rsidRPr="008B0FC3">
        <w:t>bud</w:t>
      </w:r>
      <w:r w:rsidR="004C3BFE" w:rsidRPr="008B0FC3">
        <w:t>e</w:t>
      </w:r>
      <w:r w:rsidRPr="008B0FC3">
        <w:t xml:space="preserve"> ponechán</w:t>
      </w:r>
      <w:r w:rsidR="004C3BFE" w:rsidRPr="008B0FC3">
        <w:t>a</w:t>
      </w:r>
      <w:r w:rsidRPr="008B0FC3">
        <w:t xml:space="preserve"> v zemi </w:t>
      </w:r>
      <w:r w:rsidR="00AE4B6D" w:rsidRPr="008B0FC3">
        <w:br/>
      </w:r>
      <w:r w:rsidRPr="008B0FC3">
        <w:t>a vyplněn</w:t>
      </w:r>
      <w:r w:rsidR="004C3BFE" w:rsidRPr="008B0FC3">
        <w:t>a</w:t>
      </w:r>
      <w:r w:rsidRPr="008B0FC3">
        <w:t xml:space="preserve"> cemento</w:t>
      </w:r>
      <w:r w:rsidR="00B454F1" w:rsidRPr="008B0FC3">
        <w:t>popílkovou směsí (KOPOS).</w:t>
      </w:r>
    </w:p>
    <w:tbl>
      <w:tblPr>
        <w:tblW w:w="7670" w:type="dxa"/>
        <w:tblInd w:w="55" w:type="dxa"/>
        <w:tblLayout w:type="fixed"/>
        <w:tblCellMar>
          <w:left w:w="70" w:type="dxa"/>
          <w:right w:w="70" w:type="dxa"/>
        </w:tblCellMar>
        <w:tblLook w:val="00A0" w:firstRow="1" w:lastRow="0" w:firstColumn="1" w:lastColumn="0" w:noHBand="0" w:noVBand="0"/>
      </w:tblPr>
      <w:tblGrid>
        <w:gridCol w:w="2618"/>
        <w:gridCol w:w="1316"/>
        <w:gridCol w:w="1326"/>
        <w:gridCol w:w="1174"/>
        <w:gridCol w:w="1236"/>
      </w:tblGrid>
      <w:tr w:rsidR="008B0FC3" w:rsidRPr="008B0FC3" w14:paraId="12EB5F7F" w14:textId="77777777" w:rsidTr="00007F12">
        <w:trPr>
          <w:trHeight w:val="300"/>
        </w:trPr>
        <w:tc>
          <w:tcPr>
            <w:tcW w:w="2618" w:type="dxa"/>
            <w:vMerge w:val="restart"/>
            <w:tcBorders>
              <w:top w:val="single" w:sz="12" w:space="0" w:color="auto"/>
              <w:left w:val="single" w:sz="12" w:space="0" w:color="auto"/>
              <w:bottom w:val="single" w:sz="8" w:space="0" w:color="000000"/>
              <w:right w:val="single" w:sz="12" w:space="0" w:color="auto"/>
            </w:tcBorders>
            <w:shd w:val="clear" w:color="000000" w:fill="D7E4BC"/>
            <w:noWrap/>
            <w:vAlign w:val="center"/>
          </w:tcPr>
          <w:p w14:paraId="1CA5AC0C" w14:textId="77777777" w:rsidR="00007F12" w:rsidRPr="008B0FC3" w:rsidRDefault="00007F12" w:rsidP="007A739F">
            <w:pPr>
              <w:spacing w:line="20" w:lineRule="atLeast"/>
              <w:rPr>
                <w:rFonts w:cs="Times New Roman"/>
                <w:b/>
                <w:szCs w:val="22"/>
              </w:rPr>
            </w:pPr>
            <w:r w:rsidRPr="008B0FC3">
              <w:rPr>
                <w:rFonts w:cs="Times New Roman"/>
                <w:b/>
                <w:szCs w:val="22"/>
              </w:rPr>
              <w:t>Název stoky</w:t>
            </w:r>
          </w:p>
        </w:tc>
        <w:tc>
          <w:tcPr>
            <w:tcW w:w="2642" w:type="dxa"/>
            <w:gridSpan w:val="2"/>
            <w:tcBorders>
              <w:top w:val="single" w:sz="12" w:space="0" w:color="auto"/>
              <w:left w:val="single" w:sz="12" w:space="0" w:color="auto"/>
              <w:bottom w:val="single" w:sz="4" w:space="0" w:color="auto"/>
              <w:right w:val="single" w:sz="12" w:space="0" w:color="auto"/>
            </w:tcBorders>
            <w:shd w:val="clear" w:color="000000" w:fill="D7E4BC"/>
            <w:vAlign w:val="center"/>
          </w:tcPr>
          <w:p w14:paraId="725E39AA" w14:textId="4B1334DA" w:rsidR="00007F12" w:rsidRPr="008B0FC3" w:rsidRDefault="00007F12" w:rsidP="007A739F">
            <w:pPr>
              <w:spacing w:line="20" w:lineRule="atLeast"/>
              <w:jc w:val="center"/>
              <w:rPr>
                <w:rFonts w:cs="Times New Roman"/>
                <w:b/>
                <w:szCs w:val="22"/>
              </w:rPr>
            </w:pPr>
            <w:r w:rsidRPr="008B0FC3">
              <w:rPr>
                <w:rFonts w:cs="Times New Roman"/>
                <w:b/>
                <w:szCs w:val="22"/>
              </w:rPr>
              <w:t>Bourání</w:t>
            </w:r>
          </w:p>
        </w:tc>
        <w:tc>
          <w:tcPr>
            <w:tcW w:w="2410" w:type="dxa"/>
            <w:gridSpan w:val="2"/>
            <w:tcBorders>
              <w:top w:val="single" w:sz="12" w:space="0" w:color="auto"/>
              <w:left w:val="single" w:sz="12" w:space="0" w:color="auto"/>
              <w:bottom w:val="single" w:sz="4" w:space="0" w:color="auto"/>
              <w:right w:val="single" w:sz="12" w:space="0" w:color="auto"/>
            </w:tcBorders>
            <w:shd w:val="clear" w:color="000000" w:fill="D7E4BC"/>
            <w:vAlign w:val="center"/>
          </w:tcPr>
          <w:p w14:paraId="389A4F92" w14:textId="77777777" w:rsidR="00007F12" w:rsidRPr="008B0FC3" w:rsidRDefault="00007F12" w:rsidP="007A739F">
            <w:pPr>
              <w:spacing w:line="20" w:lineRule="atLeast"/>
              <w:jc w:val="center"/>
              <w:rPr>
                <w:rFonts w:cs="Times New Roman"/>
                <w:b/>
                <w:szCs w:val="22"/>
              </w:rPr>
            </w:pPr>
            <w:r w:rsidRPr="008B0FC3">
              <w:rPr>
                <w:rFonts w:cs="Times New Roman"/>
                <w:b/>
                <w:szCs w:val="22"/>
              </w:rPr>
              <w:t>Zalití</w:t>
            </w:r>
          </w:p>
        </w:tc>
      </w:tr>
      <w:tr w:rsidR="008B0FC3" w:rsidRPr="008B0FC3" w14:paraId="3BE6EEA1" w14:textId="77777777" w:rsidTr="00007F12">
        <w:trPr>
          <w:trHeight w:val="315"/>
        </w:trPr>
        <w:tc>
          <w:tcPr>
            <w:tcW w:w="2618" w:type="dxa"/>
            <w:vMerge/>
            <w:tcBorders>
              <w:top w:val="single" w:sz="8" w:space="0" w:color="auto"/>
              <w:left w:val="single" w:sz="12" w:space="0" w:color="auto"/>
              <w:bottom w:val="single" w:sz="12" w:space="0" w:color="auto"/>
              <w:right w:val="single" w:sz="12" w:space="0" w:color="auto"/>
            </w:tcBorders>
            <w:vAlign w:val="center"/>
          </w:tcPr>
          <w:p w14:paraId="6ABB3B3D" w14:textId="77777777" w:rsidR="00007F12" w:rsidRPr="008B0FC3" w:rsidRDefault="00007F12" w:rsidP="007A739F">
            <w:pPr>
              <w:spacing w:line="20" w:lineRule="atLeast"/>
              <w:rPr>
                <w:rFonts w:cs="Times New Roman"/>
                <w:szCs w:val="22"/>
              </w:rPr>
            </w:pPr>
          </w:p>
        </w:tc>
        <w:tc>
          <w:tcPr>
            <w:tcW w:w="1316" w:type="dxa"/>
            <w:tcBorders>
              <w:top w:val="nil"/>
              <w:left w:val="single" w:sz="12" w:space="0" w:color="auto"/>
              <w:bottom w:val="single" w:sz="12" w:space="0" w:color="auto"/>
              <w:right w:val="single" w:sz="2" w:space="0" w:color="auto"/>
            </w:tcBorders>
            <w:shd w:val="clear" w:color="000000" w:fill="D7E4BC"/>
            <w:vAlign w:val="center"/>
          </w:tcPr>
          <w:p w14:paraId="2BDC8487" w14:textId="17E79376" w:rsidR="00007F12" w:rsidRPr="008B0FC3" w:rsidRDefault="00007F12" w:rsidP="008B5871">
            <w:pPr>
              <w:spacing w:line="20" w:lineRule="atLeast"/>
              <w:jc w:val="center"/>
              <w:rPr>
                <w:rFonts w:cs="Times New Roman"/>
                <w:b/>
                <w:szCs w:val="22"/>
              </w:rPr>
            </w:pPr>
            <w:r w:rsidRPr="008B0FC3">
              <w:rPr>
                <w:rFonts w:cs="Times New Roman"/>
                <w:b/>
                <w:szCs w:val="22"/>
              </w:rPr>
              <w:t>DN 500</w:t>
            </w:r>
          </w:p>
        </w:tc>
        <w:tc>
          <w:tcPr>
            <w:tcW w:w="1326" w:type="dxa"/>
            <w:tcBorders>
              <w:top w:val="nil"/>
              <w:left w:val="single" w:sz="2" w:space="0" w:color="auto"/>
              <w:bottom w:val="single" w:sz="12" w:space="0" w:color="auto"/>
              <w:right w:val="single" w:sz="4" w:space="0" w:color="auto"/>
            </w:tcBorders>
            <w:shd w:val="clear" w:color="000000" w:fill="D7E4BC"/>
            <w:noWrap/>
            <w:vAlign w:val="center"/>
          </w:tcPr>
          <w:p w14:paraId="45D50210" w14:textId="1176BE0B" w:rsidR="00007F12" w:rsidRPr="008B0FC3" w:rsidRDefault="00007F12" w:rsidP="008B5871">
            <w:pPr>
              <w:spacing w:line="20" w:lineRule="atLeast"/>
              <w:jc w:val="center"/>
              <w:rPr>
                <w:rFonts w:cs="Times New Roman"/>
                <w:b/>
                <w:szCs w:val="22"/>
              </w:rPr>
            </w:pPr>
            <w:r w:rsidRPr="008B0FC3">
              <w:rPr>
                <w:rFonts w:cs="Times New Roman"/>
                <w:b/>
                <w:szCs w:val="22"/>
              </w:rPr>
              <w:t>DN 600/900</w:t>
            </w:r>
          </w:p>
        </w:tc>
        <w:tc>
          <w:tcPr>
            <w:tcW w:w="1174" w:type="dxa"/>
            <w:tcBorders>
              <w:top w:val="nil"/>
              <w:left w:val="single" w:sz="12" w:space="0" w:color="auto"/>
              <w:bottom w:val="single" w:sz="12" w:space="0" w:color="auto"/>
              <w:right w:val="single" w:sz="4" w:space="0" w:color="auto"/>
            </w:tcBorders>
            <w:shd w:val="clear" w:color="000000" w:fill="D7E4BC"/>
            <w:noWrap/>
            <w:vAlign w:val="center"/>
          </w:tcPr>
          <w:p w14:paraId="493DBC45" w14:textId="364E1120" w:rsidR="00007F12" w:rsidRPr="008B0FC3" w:rsidRDefault="00007F12" w:rsidP="008B5871">
            <w:pPr>
              <w:spacing w:line="20" w:lineRule="atLeast"/>
              <w:jc w:val="center"/>
              <w:rPr>
                <w:rFonts w:cs="Times New Roman"/>
                <w:b/>
                <w:szCs w:val="22"/>
              </w:rPr>
            </w:pPr>
            <w:r w:rsidRPr="008B0FC3">
              <w:rPr>
                <w:rFonts w:cs="Times New Roman"/>
                <w:b/>
                <w:szCs w:val="22"/>
              </w:rPr>
              <w:t>DN 500</w:t>
            </w:r>
          </w:p>
        </w:tc>
        <w:tc>
          <w:tcPr>
            <w:tcW w:w="1236" w:type="dxa"/>
            <w:tcBorders>
              <w:top w:val="nil"/>
              <w:left w:val="nil"/>
              <w:bottom w:val="single" w:sz="12" w:space="0" w:color="auto"/>
              <w:right w:val="single" w:sz="12" w:space="0" w:color="auto"/>
            </w:tcBorders>
            <w:shd w:val="clear" w:color="000000" w:fill="D7E4BC"/>
            <w:noWrap/>
            <w:vAlign w:val="center"/>
          </w:tcPr>
          <w:p w14:paraId="606C7590" w14:textId="77777777" w:rsidR="00007F12" w:rsidRPr="008B0FC3" w:rsidRDefault="00007F12" w:rsidP="008B5871">
            <w:pPr>
              <w:spacing w:line="20" w:lineRule="atLeast"/>
              <w:jc w:val="center"/>
              <w:rPr>
                <w:rFonts w:cs="Times New Roman"/>
                <w:b/>
                <w:szCs w:val="22"/>
              </w:rPr>
            </w:pPr>
            <w:r w:rsidRPr="008B0FC3">
              <w:rPr>
                <w:rFonts w:cs="Times New Roman"/>
                <w:b/>
                <w:szCs w:val="22"/>
              </w:rPr>
              <w:t>DN 600/900</w:t>
            </w:r>
          </w:p>
        </w:tc>
      </w:tr>
      <w:tr w:rsidR="008B0FC3" w:rsidRPr="008B0FC3" w14:paraId="4CC11A25" w14:textId="77777777" w:rsidTr="00007F12">
        <w:trPr>
          <w:trHeight w:val="300"/>
        </w:trPr>
        <w:tc>
          <w:tcPr>
            <w:tcW w:w="2618" w:type="dxa"/>
            <w:tcBorders>
              <w:top w:val="single" w:sz="12" w:space="0" w:color="auto"/>
              <w:left w:val="single" w:sz="12" w:space="0" w:color="auto"/>
              <w:bottom w:val="single" w:sz="4" w:space="0" w:color="auto"/>
              <w:right w:val="single" w:sz="12" w:space="0" w:color="auto"/>
            </w:tcBorders>
            <w:shd w:val="clear" w:color="000000" w:fill="EAF1DD"/>
            <w:noWrap/>
            <w:vAlign w:val="center"/>
          </w:tcPr>
          <w:p w14:paraId="255D5DBF" w14:textId="6779BD4B" w:rsidR="00007F12" w:rsidRPr="008B0FC3" w:rsidRDefault="00007F12" w:rsidP="008B5871">
            <w:pPr>
              <w:spacing w:line="20" w:lineRule="atLeast"/>
              <w:rPr>
                <w:rFonts w:cs="Times New Roman"/>
                <w:szCs w:val="22"/>
              </w:rPr>
            </w:pPr>
            <w:r w:rsidRPr="008B0FC3">
              <w:rPr>
                <w:rFonts w:cs="Times New Roman"/>
                <w:szCs w:val="22"/>
              </w:rPr>
              <w:t>Stoka „Stránského“</w:t>
            </w:r>
          </w:p>
        </w:tc>
        <w:tc>
          <w:tcPr>
            <w:tcW w:w="1316" w:type="dxa"/>
            <w:tcBorders>
              <w:top w:val="single" w:sz="12" w:space="0" w:color="auto"/>
              <w:left w:val="single" w:sz="12" w:space="0" w:color="auto"/>
              <w:bottom w:val="single" w:sz="4" w:space="0" w:color="auto"/>
              <w:right w:val="single" w:sz="2" w:space="0" w:color="auto"/>
            </w:tcBorders>
            <w:vAlign w:val="center"/>
          </w:tcPr>
          <w:p w14:paraId="09E23844" w14:textId="6659E410" w:rsidR="00007F12" w:rsidRPr="008B0FC3" w:rsidRDefault="00007F12" w:rsidP="007A739F">
            <w:pPr>
              <w:spacing w:line="20" w:lineRule="atLeast"/>
              <w:jc w:val="center"/>
              <w:rPr>
                <w:rFonts w:cs="Times New Roman"/>
                <w:szCs w:val="22"/>
              </w:rPr>
            </w:pPr>
            <w:r w:rsidRPr="008B0FC3">
              <w:rPr>
                <w:rFonts w:cs="Times New Roman"/>
                <w:szCs w:val="22"/>
              </w:rPr>
              <w:t>142,10</w:t>
            </w:r>
          </w:p>
        </w:tc>
        <w:tc>
          <w:tcPr>
            <w:tcW w:w="1326" w:type="dxa"/>
            <w:tcBorders>
              <w:top w:val="single" w:sz="12" w:space="0" w:color="auto"/>
              <w:left w:val="single" w:sz="2" w:space="0" w:color="auto"/>
              <w:bottom w:val="single" w:sz="4" w:space="0" w:color="auto"/>
              <w:right w:val="single" w:sz="4" w:space="0" w:color="auto"/>
            </w:tcBorders>
            <w:noWrap/>
            <w:vAlign w:val="center"/>
          </w:tcPr>
          <w:p w14:paraId="46952DF1" w14:textId="2454AE9B" w:rsidR="00007F12" w:rsidRPr="008B0FC3" w:rsidRDefault="00007F12" w:rsidP="007A739F">
            <w:pPr>
              <w:spacing w:line="20" w:lineRule="atLeast"/>
              <w:jc w:val="center"/>
              <w:rPr>
                <w:rFonts w:cs="Times New Roman"/>
                <w:szCs w:val="22"/>
              </w:rPr>
            </w:pPr>
            <w:r w:rsidRPr="008B0FC3">
              <w:rPr>
                <w:rFonts w:cs="Times New Roman"/>
                <w:szCs w:val="22"/>
              </w:rPr>
              <w:t>117,20</w:t>
            </w:r>
          </w:p>
        </w:tc>
        <w:tc>
          <w:tcPr>
            <w:tcW w:w="1174" w:type="dxa"/>
            <w:tcBorders>
              <w:top w:val="single" w:sz="12" w:space="0" w:color="auto"/>
              <w:left w:val="single" w:sz="12" w:space="0" w:color="auto"/>
              <w:bottom w:val="single" w:sz="4" w:space="0" w:color="auto"/>
              <w:right w:val="single" w:sz="4" w:space="0" w:color="auto"/>
            </w:tcBorders>
            <w:noWrap/>
            <w:vAlign w:val="center"/>
          </w:tcPr>
          <w:p w14:paraId="627E2BC3" w14:textId="7CCC0FE7" w:rsidR="00007F12" w:rsidRPr="008B0FC3" w:rsidRDefault="00007F12" w:rsidP="007A739F">
            <w:pPr>
              <w:spacing w:line="20" w:lineRule="atLeast"/>
              <w:jc w:val="center"/>
              <w:rPr>
                <w:rFonts w:cs="Times New Roman"/>
                <w:szCs w:val="22"/>
              </w:rPr>
            </w:pPr>
            <w:r w:rsidRPr="008B0FC3">
              <w:rPr>
                <w:rFonts w:cs="Times New Roman"/>
                <w:szCs w:val="22"/>
              </w:rPr>
              <w:t>117,45</w:t>
            </w:r>
          </w:p>
        </w:tc>
        <w:tc>
          <w:tcPr>
            <w:tcW w:w="1236" w:type="dxa"/>
            <w:tcBorders>
              <w:top w:val="single" w:sz="12" w:space="0" w:color="auto"/>
              <w:left w:val="nil"/>
              <w:bottom w:val="single" w:sz="4" w:space="0" w:color="auto"/>
              <w:right w:val="single" w:sz="12" w:space="0" w:color="auto"/>
            </w:tcBorders>
            <w:noWrap/>
            <w:vAlign w:val="center"/>
          </w:tcPr>
          <w:p w14:paraId="1D61D1FA" w14:textId="1C23173E" w:rsidR="00007F12" w:rsidRPr="008B0FC3" w:rsidRDefault="00007F12" w:rsidP="007A739F">
            <w:pPr>
              <w:spacing w:line="20" w:lineRule="atLeast"/>
              <w:jc w:val="center"/>
              <w:rPr>
                <w:rFonts w:cs="Times New Roman"/>
                <w:szCs w:val="22"/>
              </w:rPr>
            </w:pPr>
            <w:r w:rsidRPr="008B0FC3">
              <w:rPr>
                <w:rFonts w:cs="Times New Roman"/>
                <w:szCs w:val="22"/>
              </w:rPr>
              <w:t>5,85</w:t>
            </w:r>
          </w:p>
        </w:tc>
      </w:tr>
      <w:tr w:rsidR="008B0FC3" w:rsidRPr="008B0FC3" w14:paraId="02422452" w14:textId="77777777" w:rsidTr="00007F12">
        <w:trPr>
          <w:trHeight w:val="315"/>
        </w:trPr>
        <w:tc>
          <w:tcPr>
            <w:tcW w:w="2618" w:type="dxa"/>
            <w:tcBorders>
              <w:top w:val="single" w:sz="12" w:space="0" w:color="auto"/>
              <w:left w:val="single" w:sz="12" w:space="0" w:color="auto"/>
              <w:bottom w:val="single" w:sz="12" w:space="0" w:color="auto"/>
              <w:right w:val="single" w:sz="12" w:space="0" w:color="auto"/>
            </w:tcBorders>
            <w:shd w:val="clear" w:color="000000" w:fill="EAF1DD"/>
            <w:noWrap/>
            <w:vAlign w:val="center"/>
          </w:tcPr>
          <w:p w14:paraId="0B2F66BB" w14:textId="77777777" w:rsidR="00007F12" w:rsidRPr="008B0FC3" w:rsidRDefault="00007F12" w:rsidP="007A739F">
            <w:pPr>
              <w:spacing w:line="20" w:lineRule="atLeast"/>
              <w:rPr>
                <w:rFonts w:cs="Times New Roman"/>
                <w:b/>
                <w:szCs w:val="22"/>
              </w:rPr>
            </w:pPr>
            <w:r w:rsidRPr="008B0FC3">
              <w:rPr>
                <w:rFonts w:cs="Times New Roman"/>
                <w:b/>
                <w:szCs w:val="22"/>
              </w:rPr>
              <w:t>Délka celkem</w:t>
            </w:r>
          </w:p>
        </w:tc>
        <w:tc>
          <w:tcPr>
            <w:tcW w:w="1316" w:type="dxa"/>
            <w:tcBorders>
              <w:top w:val="single" w:sz="12" w:space="0" w:color="auto"/>
              <w:left w:val="single" w:sz="12" w:space="0" w:color="auto"/>
              <w:bottom w:val="single" w:sz="12" w:space="0" w:color="auto"/>
              <w:right w:val="single" w:sz="2" w:space="0" w:color="auto"/>
            </w:tcBorders>
            <w:vAlign w:val="center"/>
          </w:tcPr>
          <w:p w14:paraId="3484CC21" w14:textId="09D69926" w:rsidR="00007F12" w:rsidRPr="008B0FC3" w:rsidRDefault="00007F12" w:rsidP="008B5871">
            <w:pPr>
              <w:spacing w:line="20" w:lineRule="atLeast"/>
              <w:jc w:val="center"/>
              <w:rPr>
                <w:rFonts w:cs="Times New Roman"/>
                <w:b/>
                <w:szCs w:val="22"/>
              </w:rPr>
            </w:pPr>
            <w:r w:rsidRPr="008B0FC3">
              <w:rPr>
                <w:rFonts w:cs="Times New Roman"/>
                <w:b/>
                <w:szCs w:val="22"/>
              </w:rPr>
              <w:t>142,10</w:t>
            </w:r>
          </w:p>
        </w:tc>
        <w:tc>
          <w:tcPr>
            <w:tcW w:w="1326" w:type="dxa"/>
            <w:tcBorders>
              <w:top w:val="single" w:sz="12" w:space="0" w:color="auto"/>
              <w:left w:val="single" w:sz="2" w:space="0" w:color="auto"/>
              <w:bottom w:val="single" w:sz="12" w:space="0" w:color="auto"/>
              <w:right w:val="single" w:sz="4" w:space="0" w:color="auto"/>
            </w:tcBorders>
            <w:noWrap/>
            <w:vAlign w:val="center"/>
          </w:tcPr>
          <w:p w14:paraId="6597F0AB" w14:textId="68EE5FC6" w:rsidR="00007F12" w:rsidRPr="008B0FC3" w:rsidRDefault="00007F12" w:rsidP="007A739F">
            <w:pPr>
              <w:spacing w:line="20" w:lineRule="atLeast"/>
              <w:jc w:val="center"/>
              <w:rPr>
                <w:rFonts w:cs="Times New Roman"/>
                <w:b/>
                <w:szCs w:val="22"/>
              </w:rPr>
            </w:pPr>
            <w:r w:rsidRPr="008B0FC3">
              <w:rPr>
                <w:rFonts w:cs="Times New Roman"/>
                <w:b/>
                <w:szCs w:val="22"/>
              </w:rPr>
              <w:t>117,20</w:t>
            </w:r>
          </w:p>
        </w:tc>
        <w:tc>
          <w:tcPr>
            <w:tcW w:w="1174" w:type="dxa"/>
            <w:tcBorders>
              <w:top w:val="single" w:sz="12" w:space="0" w:color="auto"/>
              <w:left w:val="single" w:sz="12" w:space="0" w:color="auto"/>
              <w:bottom w:val="single" w:sz="12" w:space="0" w:color="auto"/>
              <w:right w:val="single" w:sz="4" w:space="0" w:color="auto"/>
            </w:tcBorders>
            <w:noWrap/>
            <w:vAlign w:val="center"/>
          </w:tcPr>
          <w:p w14:paraId="2FE1E56D" w14:textId="7DAF00C5" w:rsidR="00007F12" w:rsidRPr="008B0FC3" w:rsidRDefault="00007F12" w:rsidP="002103B1">
            <w:pPr>
              <w:spacing w:line="20" w:lineRule="atLeast"/>
              <w:jc w:val="center"/>
              <w:rPr>
                <w:rFonts w:cs="Times New Roman"/>
                <w:b/>
                <w:szCs w:val="22"/>
              </w:rPr>
            </w:pPr>
            <w:r w:rsidRPr="008B0FC3">
              <w:rPr>
                <w:rFonts w:cs="Times New Roman"/>
                <w:b/>
                <w:szCs w:val="22"/>
              </w:rPr>
              <w:t>117,45</w:t>
            </w:r>
          </w:p>
        </w:tc>
        <w:tc>
          <w:tcPr>
            <w:tcW w:w="1236" w:type="dxa"/>
            <w:tcBorders>
              <w:top w:val="single" w:sz="12" w:space="0" w:color="auto"/>
              <w:left w:val="nil"/>
              <w:bottom w:val="single" w:sz="12" w:space="0" w:color="auto"/>
              <w:right w:val="single" w:sz="12" w:space="0" w:color="auto"/>
            </w:tcBorders>
            <w:noWrap/>
            <w:vAlign w:val="center"/>
          </w:tcPr>
          <w:p w14:paraId="082B5AAC" w14:textId="3D7ADFC4" w:rsidR="00007F12" w:rsidRPr="008B0FC3" w:rsidRDefault="00007F12" w:rsidP="00C839AF">
            <w:pPr>
              <w:spacing w:line="20" w:lineRule="atLeast"/>
              <w:jc w:val="center"/>
              <w:rPr>
                <w:rFonts w:cs="Times New Roman"/>
                <w:b/>
                <w:szCs w:val="22"/>
              </w:rPr>
            </w:pPr>
            <w:r w:rsidRPr="008B0FC3">
              <w:rPr>
                <w:rFonts w:cs="Times New Roman"/>
                <w:b/>
                <w:szCs w:val="22"/>
              </w:rPr>
              <w:t>5,85</w:t>
            </w:r>
          </w:p>
        </w:tc>
      </w:tr>
    </w:tbl>
    <w:p w14:paraId="3E781B3B" w14:textId="77777777" w:rsidR="007A739F" w:rsidRPr="008B0FC3" w:rsidRDefault="007A739F" w:rsidP="00D21412">
      <w:pPr>
        <w:pStyle w:val="AqpText"/>
      </w:pPr>
    </w:p>
    <w:p w14:paraId="20B97E2E" w14:textId="79291D17" w:rsidR="005A5433" w:rsidRPr="008B0FC3" w:rsidRDefault="00D21412" w:rsidP="00D21412">
      <w:pPr>
        <w:pStyle w:val="AqpText"/>
      </w:pPr>
      <w:r w:rsidRPr="008B0FC3">
        <w:lastRenderedPageBreak/>
        <w:t xml:space="preserve">Likvidace stávajících domovních přípojek je součástí SO </w:t>
      </w:r>
      <w:r w:rsidR="00007F12" w:rsidRPr="008B0FC3">
        <w:t>320</w:t>
      </w:r>
      <w:r w:rsidR="005A5433" w:rsidRPr="008B0FC3">
        <w:t xml:space="preserve"> </w:t>
      </w:r>
      <w:r w:rsidR="00007F12" w:rsidRPr="008B0FC3">
        <w:t>Kanalizační přípojky</w:t>
      </w:r>
      <w:r w:rsidR="006965C9" w:rsidRPr="008B0FC3">
        <w:t>.</w:t>
      </w:r>
    </w:p>
    <w:p w14:paraId="072A69BB" w14:textId="7FDD8E8C" w:rsidR="008D7F48" w:rsidRPr="008B0FC3" w:rsidRDefault="00D21412" w:rsidP="006965C9">
      <w:pPr>
        <w:pStyle w:val="AqpText"/>
      </w:pPr>
      <w:r w:rsidRPr="008B0FC3">
        <w:t xml:space="preserve">Likvidace uličních vpustí a jejich přípojek bude součástí </w:t>
      </w:r>
      <w:r w:rsidR="005A5433" w:rsidRPr="008B0FC3">
        <w:t xml:space="preserve">SO </w:t>
      </w:r>
      <w:r w:rsidR="00007F12" w:rsidRPr="008B0FC3">
        <w:t>101.1</w:t>
      </w:r>
      <w:r w:rsidR="005A5433" w:rsidRPr="008B0FC3">
        <w:t xml:space="preserve"> </w:t>
      </w:r>
      <w:r w:rsidR="00007F12" w:rsidRPr="008B0FC3">
        <w:t>Komunikace ul. Stránského – odvodnění.</w:t>
      </w:r>
    </w:p>
    <w:p w14:paraId="0126D533" w14:textId="77777777" w:rsidR="00774674" w:rsidRPr="008B0FC3" w:rsidRDefault="006965C9" w:rsidP="005A5433">
      <w:pPr>
        <w:pStyle w:val="Nadpis3"/>
      </w:pPr>
      <w:bookmarkStart w:id="49" w:name="_Toc53736223"/>
      <w:r w:rsidRPr="008B0FC3">
        <w:t>L</w:t>
      </w:r>
      <w:r w:rsidR="00B02697" w:rsidRPr="008B0FC3">
        <w:t>ikvidované</w:t>
      </w:r>
      <w:r w:rsidR="008D7F48" w:rsidRPr="008B0FC3">
        <w:t xml:space="preserve"> objekty</w:t>
      </w:r>
      <w:bookmarkEnd w:id="49"/>
    </w:p>
    <w:p w14:paraId="49CDA3B9" w14:textId="77777777" w:rsidR="009707DF" w:rsidRPr="008B0FC3" w:rsidRDefault="009707DF" w:rsidP="009707DF">
      <w:pPr>
        <w:pStyle w:val="AqpText"/>
      </w:pPr>
      <w:r w:rsidRPr="008B0FC3">
        <w:t>Likvidace stávajících objektů na kanalizaci (revizní šachty) je navržena takto:</w:t>
      </w:r>
    </w:p>
    <w:p w14:paraId="710ED1C3" w14:textId="08CD7B80" w:rsidR="009707DF" w:rsidRPr="008B0FC3" w:rsidRDefault="009707DF" w:rsidP="009707DF">
      <w:pPr>
        <w:pStyle w:val="AqpText"/>
        <w:numPr>
          <w:ilvl w:val="0"/>
          <w:numId w:val="11"/>
        </w:numPr>
      </w:pPr>
      <w:r w:rsidRPr="008B0FC3">
        <w:t>Stávající šachta, která se nachází v trase nově navržené stoky nebo v místě výkopu, bude fyzicky odstraněna – vykopána ze země</w:t>
      </w:r>
      <w:r w:rsidR="00AE5265" w:rsidRPr="008B0FC3">
        <w:t>, odvezena a uložena na skládku (</w:t>
      </w:r>
      <w:r w:rsidR="007D0900" w:rsidRPr="008B0FC3">
        <w:t>6</w:t>
      </w:r>
      <w:r w:rsidR="00AE5265" w:rsidRPr="008B0FC3">
        <w:t xml:space="preserve"> šachet).</w:t>
      </w:r>
    </w:p>
    <w:p w14:paraId="60921E2C" w14:textId="1DCD52E7" w:rsidR="009707DF" w:rsidRPr="008B0FC3" w:rsidRDefault="009707DF" w:rsidP="005A5433">
      <w:pPr>
        <w:pStyle w:val="AqpText"/>
        <w:numPr>
          <w:ilvl w:val="0"/>
          <w:numId w:val="11"/>
        </w:numPr>
      </w:pPr>
      <w:r w:rsidRPr="008B0FC3">
        <w:t xml:space="preserve">Stávající šachta, která se nachází mimo trasu nově navržené stoky a mimo výkop, bude ponechána v zemi </w:t>
      </w:r>
      <w:r w:rsidRPr="008B0FC3">
        <w:br/>
        <w:t>a vyplněna cementopopílkovou směsí (KOPOS), kónus bude od</w:t>
      </w:r>
      <w:r w:rsidR="00AE5265" w:rsidRPr="008B0FC3">
        <w:t>straněn a místo po něm zasypáno</w:t>
      </w:r>
      <w:r w:rsidR="007D0900" w:rsidRPr="008B0FC3">
        <w:t xml:space="preserve"> (3 šachty)</w:t>
      </w:r>
      <w:r w:rsidR="00AE5265" w:rsidRPr="008B0FC3">
        <w:t>.</w:t>
      </w:r>
    </w:p>
    <w:p w14:paraId="609C7365" w14:textId="77777777" w:rsidR="00434948" w:rsidRPr="008B0FC3" w:rsidRDefault="00434948" w:rsidP="005A5433">
      <w:pPr>
        <w:pStyle w:val="AqpText"/>
      </w:pPr>
    </w:p>
    <w:tbl>
      <w:tblPr>
        <w:tblW w:w="9087" w:type="dxa"/>
        <w:tblInd w:w="55" w:type="dxa"/>
        <w:tblCellMar>
          <w:left w:w="70" w:type="dxa"/>
          <w:right w:w="70" w:type="dxa"/>
        </w:tblCellMar>
        <w:tblLook w:val="04A0" w:firstRow="1" w:lastRow="0" w:firstColumn="1" w:lastColumn="0" w:noHBand="0" w:noVBand="1"/>
      </w:tblPr>
      <w:tblGrid>
        <w:gridCol w:w="898"/>
        <w:gridCol w:w="960"/>
        <w:gridCol w:w="1134"/>
        <w:gridCol w:w="1100"/>
        <w:gridCol w:w="1134"/>
        <w:gridCol w:w="992"/>
        <w:gridCol w:w="1452"/>
        <w:gridCol w:w="1417"/>
      </w:tblGrid>
      <w:tr w:rsidR="00D97E41" w:rsidRPr="008B0FC3" w14:paraId="1A665EA0" w14:textId="77777777" w:rsidTr="002424E4">
        <w:trPr>
          <w:trHeight w:val="300"/>
        </w:trPr>
        <w:tc>
          <w:tcPr>
            <w:tcW w:w="1858" w:type="dxa"/>
            <w:gridSpan w:val="2"/>
            <w:tcBorders>
              <w:top w:val="single" w:sz="12" w:space="0" w:color="auto"/>
              <w:left w:val="single" w:sz="12" w:space="0" w:color="auto"/>
              <w:bottom w:val="single" w:sz="4" w:space="0" w:color="auto"/>
              <w:right w:val="single" w:sz="12" w:space="0" w:color="auto"/>
            </w:tcBorders>
            <w:shd w:val="clear" w:color="000000" w:fill="D7E4BC"/>
            <w:noWrap/>
            <w:vAlign w:val="center"/>
            <w:hideMark/>
          </w:tcPr>
          <w:p w14:paraId="6D03DBBB" w14:textId="77777777" w:rsidR="00D97E41" w:rsidRPr="008B0FC3" w:rsidRDefault="00D97E41" w:rsidP="002424E4">
            <w:pPr>
              <w:spacing w:line="240" w:lineRule="auto"/>
              <w:jc w:val="center"/>
              <w:rPr>
                <w:rFonts w:cs="Times New Roman"/>
                <w:b/>
                <w:bCs/>
                <w:szCs w:val="22"/>
              </w:rPr>
            </w:pPr>
            <w:r w:rsidRPr="008B0FC3">
              <w:rPr>
                <w:rFonts w:cs="Times New Roman"/>
                <w:b/>
                <w:bCs/>
                <w:szCs w:val="22"/>
              </w:rPr>
              <w:t>Šachta</w:t>
            </w:r>
          </w:p>
        </w:tc>
        <w:tc>
          <w:tcPr>
            <w:tcW w:w="4360" w:type="dxa"/>
            <w:gridSpan w:val="4"/>
            <w:tcBorders>
              <w:top w:val="single" w:sz="12" w:space="0" w:color="auto"/>
              <w:left w:val="single" w:sz="12" w:space="0" w:color="auto"/>
              <w:bottom w:val="single" w:sz="4" w:space="0" w:color="auto"/>
              <w:right w:val="single" w:sz="12" w:space="0" w:color="auto"/>
            </w:tcBorders>
            <w:shd w:val="clear" w:color="000000" w:fill="D7E4BC"/>
            <w:vAlign w:val="center"/>
          </w:tcPr>
          <w:p w14:paraId="4811804E" w14:textId="77777777" w:rsidR="00D97E41" w:rsidRPr="008B0FC3" w:rsidRDefault="00D97E41" w:rsidP="002424E4">
            <w:pPr>
              <w:spacing w:line="240" w:lineRule="auto"/>
              <w:jc w:val="center"/>
              <w:rPr>
                <w:rFonts w:cs="Times New Roman"/>
                <w:b/>
                <w:bCs/>
                <w:szCs w:val="22"/>
              </w:rPr>
            </w:pPr>
            <w:r w:rsidRPr="008B0FC3">
              <w:rPr>
                <w:rFonts w:cs="Times New Roman"/>
                <w:b/>
                <w:bCs/>
                <w:szCs w:val="22"/>
              </w:rPr>
              <w:t>Hloubka [m]</w:t>
            </w:r>
          </w:p>
        </w:tc>
        <w:tc>
          <w:tcPr>
            <w:tcW w:w="2869" w:type="dxa"/>
            <w:gridSpan w:val="2"/>
            <w:tcBorders>
              <w:top w:val="single" w:sz="12" w:space="0" w:color="auto"/>
              <w:left w:val="single" w:sz="12" w:space="0" w:color="auto"/>
              <w:bottom w:val="single" w:sz="4" w:space="0" w:color="auto"/>
              <w:right w:val="single" w:sz="12" w:space="0" w:color="auto"/>
            </w:tcBorders>
            <w:shd w:val="clear" w:color="000000" w:fill="D7E4BC"/>
            <w:vAlign w:val="center"/>
          </w:tcPr>
          <w:p w14:paraId="6274156A" w14:textId="77777777" w:rsidR="00D97E41" w:rsidRPr="008B0FC3" w:rsidRDefault="00D97E41" w:rsidP="002424E4">
            <w:pPr>
              <w:spacing w:line="240" w:lineRule="auto"/>
              <w:jc w:val="center"/>
              <w:rPr>
                <w:rFonts w:cs="Times New Roman"/>
                <w:b/>
                <w:bCs/>
                <w:szCs w:val="22"/>
              </w:rPr>
            </w:pPr>
            <w:r w:rsidRPr="008B0FC3">
              <w:rPr>
                <w:rFonts w:cs="Times New Roman"/>
                <w:b/>
                <w:bCs/>
                <w:szCs w:val="22"/>
              </w:rPr>
              <w:t xml:space="preserve">Půdorys vnitřní </w:t>
            </w:r>
            <w:r w:rsidRPr="008B0FC3">
              <w:rPr>
                <w:rFonts w:cs="Times New Roman"/>
                <w:b/>
                <w:bCs/>
                <w:szCs w:val="22"/>
                <w:lang w:val="en-US"/>
              </w:rPr>
              <w:t>[m]</w:t>
            </w:r>
          </w:p>
        </w:tc>
      </w:tr>
      <w:tr w:rsidR="00D97E41" w:rsidRPr="008B0FC3" w14:paraId="14FEBC6A" w14:textId="77777777" w:rsidTr="002424E4">
        <w:trPr>
          <w:trHeight w:val="300"/>
        </w:trPr>
        <w:tc>
          <w:tcPr>
            <w:tcW w:w="898" w:type="dxa"/>
            <w:tcBorders>
              <w:top w:val="nil"/>
              <w:left w:val="single" w:sz="12" w:space="0" w:color="auto"/>
              <w:bottom w:val="single" w:sz="12" w:space="0" w:color="auto"/>
              <w:right w:val="single" w:sz="4" w:space="0" w:color="auto"/>
            </w:tcBorders>
            <w:shd w:val="clear" w:color="000000" w:fill="D7E4BC"/>
            <w:noWrap/>
            <w:vAlign w:val="center"/>
            <w:hideMark/>
          </w:tcPr>
          <w:p w14:paraId="6448CECE" w14:textId="77777777" w:rsidR="00D97E41" w:rsidRPr="008B0FC3" w:rsidRDefault="00D97E41" w:rsidP="002424E4">
            <w:pPr>
              <w:spacing w:line="240" w:lineRule="auto"/>
              <w:jc w:val="center"/>
              <w:rPr>
                <w:rFonts w:cs="Times New Roman"/>
                <w:b/>
                <w:bCs/>
                <w:szCs w:val="22"/>
              </w:rPr>
            </w:pPr>
            <w:r w:rsidRPr="008B0FC3">
              <w:rPr>
                <w:rFonts w:cs="Times New Roman"/>
                <w:b/>
                <w:bCs/>
                <w:szCs w:val="22"/>
              </w:rPr>
              <w:t>Stávající</w:t>
            </w:r>
          </w:p>
        </w:tc>
        <w:tc>
          <w:tcPr>
            <w:tcW w:w="960" w:type="dxa"/>
            <w:tcBorders>
              <w:top w:val="nil"/>
              <w:left w:val="nil"/>
              <w:bottom w:val="single" w:sz="12" w:space="0" w:color="auto"/>
              <w:right w:val="single" w:sz="12" w:space="0" w:color="auto"/>
            </w:tcBorders>
            <w:shd w:val="clear" w:color="000000" w:fill="D7E4BC"/>
            <w:noWrap/>
            <w:vAlign w:val="center"/>
            <w:hideMark/>
          </w:tcPr>
          <w:p w14:paraId="583294E5" w14:textId="77777777" w:rsidR="00D97E41" w:rsidRPr="008B0FC3" w:rsidRDefault="00D97E41" w:rsidP="002424E4">
            <w:pPr>
              <w:spacing w:line="240" w:lineRule="auto"/>
              <w:jc w:val="center"/>
              <w:rPr>
                <w:rFonts w:cs="Times New Roman"/>
                <w:b/>
                <w:bCs/>
                <w:szCs w:val="22"/>
              </w:rPr>
            </w:pPr>
            <w:r w:rsidRPr="008B0FC3">
              <w:rPr>
                <w:rFonts w:cs="Times New Roman"/>
                <w:b/>
                <w:bCs/>
                <w:szCs w:val="22"/>
              </w:rPr>
              <w:t>Nová</w:t>
            </w:r>
          </w:p>
        </w:tc>
        <w:tc>
          <w:tcPr>
            <w:tcW w:w="1134" w:type="dxa"/>
            <w:tcBorders>
              <w:top w:val="nil"/>
              <w:left w:val="single" w:sz="12" w:space="0" w:color="auto"/>
              <w:bottom w:val="single" w:sz="12" w:space="0" w:color="auto"/>
              <w:right w:val="single" w:sz="4" w:space="0" w:color="auto"/>
            </w:tcBorders>
            <w:shd w:val="clear" w:color="000000" w:fill="D7E4BC"/>
            <w:noWrap/>
            <w:vAlign w:val="center"/>
            <w:hideMark/>
          </w:tcPr>
          <w:p w14:paraId="2786E9CA" w14:textId="77777777" w:rsidR="00D97E41" w:rsidRPr="008B0FC3" w:rsidRDefault="00D97E41" w:rsidP="002424E4">
            <w:pPr>
              <w:spacing w:line="240" w:lineRule="auto"/>
              <w:jc w:val="center"/>
              <w:rPr>
                <w:rFonts w:cs="Times New Roman"/>
                <w:b/>
                <w:bCs/>
                <w:szCs w:val="22"/>
              </w:rPr>
            </w:pPr>
            <w:r w:rsidRPr="008B0FC3">
              <w:rPr>
                <w:rFonts w:cs="Times New Roman"/>
                <w:b/>
                <w:bCs/>
                <w:szCs w:val="22"/>
              </w:rPr>
              <w:t>Komín – prefabrik.</w:t>
            </w:r>
          </w:p>
        </w:tc>
        <w:tc>
          <w:tcPr>
            <w:tcW w:w="1100" w:type="dxa"/>
            <w:tcBorders>
              <w:top w:val="nil"/>
              <w:left w:val="nil"/>
              <w:bottom w:val="single" w:sz="12" w:space="0" w:color="auto"/>
              <w:right w:val="single" w:sz="4" w:space="0" w:color="auto"/>
            </w:tcBorders>
            <w:shd w:val="clear" w:color="000000" w:fill="D7E4BC"/>
            <w:vAlign w:val="center"/>
          </w:tcPr>
          <w:p w14:paraId="7DC3A0A1" w14:textId="77777777" w:rsidR="00D97E41" w:rsidRPr="008B0FC3" w:rsidRDefault="00C42275" w:rsidP="00C42275">
            <w:pPr>
              <w:spacing w:line="240" w:lineRule="auto"/>
              <w:jc w:val="center"/>
              <w:rPr>
                <w:rFonts w:cs="Times New Roman"/>
                <w:b/>
                <w:bCs/>
                <w:szCs w:val="22"/>
              </w:rPr>
            </w:pPr>
            <w:r w:rsidRPr="008B0FC3">
              <w:rPr>
                <w:rFonts w:cs="Times New Roman"/>
                <w:b/>
                <w:bCs/>
                <w:szCs w:val="22"/>
              </w:rPr>
              <w:t>Dno</w:t>
            </w:r>
            <w:r w:rsidR="00D97E41" w:rsidRPr="008B0FC3">
              <w:rPr>
                <w:rFonts w:cs="Times New Roman"/>
                <w:b/>
                <w:bCs/>
                <w:szCs w:val="22"/>
              </w:rPr>
              <w:t xml:space="preserve"> – </w:t>
            </w:r>
            <w:r w:rsidRPr="008B0FC3">
              <w:rPr>
                <w:rFonts w:cs="Times New Roman"/>
                <w:b/>
                <w:bCs/>
                <w:szCs w:val="22"/>
              </w:rPr>
              <w:t>prefabrik</w:t>
            </w:r>
            <w:r w:rsidR="00D97E41" w:rsidRPr="008B0FC3">
              <w:rPr>
                <w:rFonts w:cs="Times New Roman"/>
                <w:b/>
                <w:bCs/>
                <w:szCs w:val="22"/>
              </w:rPr>
              <w:t>.</w:t>
            </w:r>
          </w:p>
        </w:tc>
        <w:tc>
          <w:tcPr>
            <w:tcW w:w="1134" w:type="dxa"/>
            <w:tcBorders>
              <w:top w:val="nil"/>
              <w:left w:val="single" w:sz="4" w:space="0" w:color="auto"/>
              <w:bottom w:val="single" w:sz="12" w:space="0" w:color="auto"/>
              <w:right w:val="single" w:sz="4" w:space="0" w:color="auto"/>
            </w:tcBorders>
            <w:shd w:val="clear" w:color="000000" w:fill="D7E4BC"/>
            <w:noWrap/>
            <w:vAlign w:val="center"/>
            <w:hideMark/>
          </w:tcPr>
          <w:p w14:paraId="54F62DCF" w14:textId="77777777" w:rsidR="00D97E41" w:rsidRPr="008B0FC3" w:rsidRDefault="00D97E41" w:rsidP="002424E4">
            <w:pPr>
              <w:spacing w:line="240" w:lineRule="auto"/>
              <w:jc w:val="center"/>
              <w:rPr>
                <w:rFonts w:cs="Times New Roman"/>
                <w:b/>
                <w:bCs/>
                <w:szCs w:val="22"/>
              </w:rPr>
            </w:pPr>
            <w:r w:rsidRPr="008B0FC3">
              <w:rPr>
                <w:rFonts w:cs="Times New Roman"/>
                <w:b/>
                <w:bCs/>
                <w:szCs w:val="22"/>
              </w:rPr>
              <w:t>Dno – monolit.</w:t>
            </w:r>
          </w:p>
        </w:tc>
        <w:tc>
          <w:tcPr>
            <w:tcW w:w="992" w:type="dxa"/>
            <w:tcBorders>
              <w:top w:val="nil"/>
              <w:left w:val="nil"/>
              <w:bottom w:val="single" w:sz="12" w:space="0" w:color="auto"/>
              <w:right w:val="single" w:sz="12" w:space="0" w:color="auto"/>
            </w:tcBorders>
            <w:shd w:val="clear" w:color="000000" w:fill="D7E4BC"/>
            <w:noWrap/>
            <w:vAlign w:val="center"/>
            <w:hideMark/>
          </w:tcPr>
          <w:p w14:paraId="034838A4" w14:textId="77777777" w:rsidR="00D97E41" w:rsidRPr="008B0FC3" w:rsidRDefault="00D97E41" w:rsidP="002424E4">
            <w:pPr>
              <w:spacing w:line="240" w:lineRule="auto"/>
              <w:jc w:val="center"/>
              <w:rPr>
                <w:rFonts w:cs="Times New Roman"/>
                <w:b/>
                <w:bCs/>
                <w:szCs w:val="22"/>
              </w:rPr>
            </w:pPr>
            <w:r w:rsidRPr="008B0FC3">
              <w:rPr>
                <w:rFonts w:cs="Times New Roman"/>
                <w:b/>
                <w:bCs/>
                <w:szCs w:val="22"/>
              </w:rPr>
              <w:t>Celkem</w:t>
            </w:r>
          </w:p>
        </w:tc>
        <w:tc>
          <w:tcPr>
            <w:tcW w:w="1452" w:type="dxa"/>
            <w:tcBorders>
              <w:top w:val="nil"/>
              <w:left w:val="single" w:sz="12" w:space="0" w:color="auto"/>
              <w:bottom w:val="single" w:sz="12" w:space="0" w:color="auto"/>
              <w:right w:val="single" w:sz="4" w:space="0" w:color="auto"/>
            </w:tcBorders>
            <w:shd w:val="clear" w:color="000000" w:fill="D7E4BC"/>
            <w:vAlign w:val="center"/>
          </w:tcPr>
          <w:p w14:paraId="04B1A846" w14:textId="77777777" w:rsidR="00D97E41" w:rsidRPr="008B0FC3" w:rsidRDefault="00D97E41" w:rsidP="002424E4">
            <w:pPr>
              <w:spacing w:line="240" w:lineRule="auto"/>
              <w:jc w:val="center"/>
              <w:rPr>
                <w:rFonts w:cs="Times New Roman"/>
                <w:b/>
                <w:bCs/>
                <w:szCs w:val="22"/>
              </w:rPr>
            </w:pPr>
            <w:r w:rsidRPr="008B0FC3">
              <w:rPr>
                <w:rFonts w:cs="Times New Roman"/>
                <w:b/>
                <w:bCs/>
                <w:szCs w:val="22"/>
              </w:rPr>
              <w:t>Komín</w:t>
            </w:r>
          </w:p>
        </w:tc>
        <w:tc>
          <w:tcPr>
            <w:tcW w:w="1417" w:type="dxa"/>
            <w:tcBorders>
              <w:top w:val="nil"/>
              <w:left w:val="nil"/>
              <w:bottom w:val="single" w:sz="12" w:space="0" w:color="auto"/>
              <w:right w:val="single" w:sz="12" w:space="0" w:color="auto"/>
            </w:tcBorders>
            <w:shd w:val="clear" w:color="000000" w:fill="D7E4BC"/>
            <w:vAlign w:val="center"/>
          </w:tcPr>
          <w:p w14:paraId="2E913DDB" w14:textId="77777777" w:rsidR="00D97E41" w:rsidRPr="008B0FC3" w:rsidRDefault="00D97E41" w:rsidP="002424E4">
            <w:pPr>
              <w:spacing w:line="240" w:lineRule="auto"/>
              <w:jc w:val="center"/>
              <w:rPr>
                <w:rFonts w:cs="Times New Roman"/>
                <w:b/>
                <w:bCs/>
                <w:szCs w:val="22"/>
              </w:rPr>
            </w:pPr>
            <w:r w:rsidRPr="008B0FC3">
              <w:rPr>
                <w:rFonts w:cs="Times New Roman"/>
                <w:b/>
                <w:bCs/>
                <w:szCs w:val="22"/>
              </w:rPr>
              <w:t>Dno</w:t>
            </w:r>
          </w:p>
        </w:tc>
      </w:tr>
      <w:tr w:rsidR="00D97E41" w:rsidRPr="008B0FC3" w14:paraId="265123B9" w14:textId="77777777" w:rsidTr="002424E4">
        <w:trPr>
          <w:trHeight w:val="300"/>
        </w:trPr>
        <w:tc>
          <w:tcPr>
            <w:tcW w:w="898" w:type="dxa"/>
            <w:tcBorders>
              <w:top w:val="single" w:sz="12" w:space="0" w:color="auto"/>
              <w:left w:val="single" w:sz="12" w:space="0" w:color="auto"/>
              <w:bottom w:val="single" w:sz="4" w:space="0" w:color="auto"/>
              <w:right w:val="single" w:sz="4" w:space="0" w:color="auto"/>
            </w:tcBorders>
            <w:shd w:val="clear" w:color="000000" w:fill="EAF1DD"/>
            <w:noWrap/>
            <w:vAlign w:val="center"/>
            <w:hideMark/>
          </w:tcPr>
          <w:p w14:paraId="0B8EEC24" w14:textId="5B9467FE" w:rsidR="00D97E41" w:rsidRPr="008B0FC3" w:rsidRDefault="00D97E41" w:rsidP="002424E4">
            <w:pPr>
              <w:spacing w:line="240" w:lineRule="auto"/>
              <w:jc w:val="center"/>
              <w:rPr>
                <w:rFonts w:cs="Times New Roman"/>
                <w:szCs w:val="22"/>
              </w:rPr>
            </w:pPr>
            <w:r w:rsidRPr="008B0FC3">
              <w:rPr>
                <w:rFonts w:cs="Times New Roman"/>
                <w:szCs w:val="22"/>
              </w:rPr>
              <w:t>8</w:t>
            </w:r>
            <w:r w:rsidR="00155365" w:rsidRPr="008B0FC3">
              <w:rPr>
                <w:rFonts w:cs="Times New Roman"/>
                <w:szCs w:val="22"/>
              </w:rPr>
              <w:t>630</w:t>
            </w:r>
          </w:p>
        </w:tc>
        <w:tc>
          <w:tcPr>
            <w:tcW w:w="960" w:type="dxa"/>
            <w:tcBorders>
              <w:top w:val="single" w:sz="12" w:space="0" w:color="auto"/>
              <w:left w:val="nil"/>
              <w:bottom w:val="single" w:sz="4" w:space="0" w:color="auto"/>
              <w:right w:val="single" w:sz="12" w:space="0" w:color="auto"/>
            </w:tcBorders>
            <w:shd w:val="clear" w:color="000000" w:fill="EAF1DD"/>
            <w:noWrap/>
            <w:vAlign w:val="center"/>
            <w:hideMark/>
          </w:tcPr>
          <w:p w14:paraId="0505D0B3" w14:textId="6079760D" w:rsidR="00D97E41" w:rsidRPr="008B0FC3" w:rsidRDefault="00155365" w:rsidP="002424E4">
            <w:pPr>
              <w:spacing w:line="240" w:lineRule="auto"/>
              <w:jc w:val="center"/>
              <w:rPr>
                <w:rFonts w:cs="Times New Roman"/>
                <w:szCs w:val="22"/>
              </w:rPr>
            </w:pPr>
            <w:r w:rsidRPr="008B0FC3">
              <w:rPr>
                <w:rFonts w:cs="Times New Roman"/>
                <w:szCs w:val="22"/>
              </w:rPr>
              <w:t>-</w:t>
            </w:r>
          </w:p>
        </w:tc>
        <w:tc>
          <w:tcPr>
            <w:tcW w:w="1134"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14:paraId="4B2413EB" w14:textId="585A678F" w:rsidR="00D97E41" w:rsidRPr="008B0FC3" w:rsidRDefault="00155365" w:rsidP="002424E4">
            <w:pPr>
              <w:spacing w:line="240" w:lineRule="auto"/>
              <w:jc w:val="center"/>
              <w:rPr>
                <w:rFonts w:cs="Times New Roman"/>
                <w:szCs w:val="22"/>
              </w:rPr>
            </w:pPr>
            <w:r w:rsidRPr="008B0FC3">
              <w:rPr>
                <w:rFonts w:cs="Times New Roman"/>
                <w:szCs w:val="22"/>
              </w:rPr>
              <w:t>0,70</w:t>
            </w:r>
          </w:p>
        </w:tc>
        <w:tc>
          <w:tcPr>
            <w:tcW w:w="1100" w:type="dxa"/>
            <w:tcBorders>
              <w:top w:val="single" w:sz="12" w:space="0" w:color="auto"/>
              <w:left w:val="nil"/>
              <w:bottom w:val="single" w:sz="4" w:space="0" w:color="auto"/>
              <w:right w:val="single" w:sz="4" w:space="0" w:color="auto"/>
            </w:tcBorders>
            <w:vAlign w:val="center"/>
          </w:tcPr>
          <w:p w14:paraId="421CF8FF" w14:textId="77777777" w:rsidR="00D97E41" w:rsidRPr="008B0FC3" w:rsidRDefault="00D97E41" w:rsidP="002424E4">
            <w:pPr>
              <w:spacing w:line="240" w:lineRule="auto"/>
              <w:jc w:val="center"/>
              <w:rPr>
                <w:rFonts w:cs="Times New Roman"/>
                <w:szCs w:val="22"/>
              </w:rPr>
            </w:pPr>
            <w:r w:rsidRPr="008B0FC3">
              <w:rPr>
                <w:rFonts w:cs="Times New Roman"/>
                <w:szCs w:val="22"/>
              </w:rPr>
              <w:t>-</w:t>
            </w:r>
          </w:p>
        </w:tc>
        <w:tc>
          <w:tcPr>
            <w:tcW w:w="1134"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14:paraId="6C892FE4" w14:textId="0470B293" w:rsidR="00D97E41" w:rsidRPr="008B0FC3" w:rsidRDefault="00155365" w:rsidP="002424E4">
            <w:pPr>
              <w:spacing w:line="240" w:lineRule="auto"/>
              <w:jc w:val="center"/>
              <w:rPr>
                <w:rFonts w:cs="Times New Roman"/>
                <w:szCs w:val="22"/>
              </w:rPr>
            </w:pPr>
            <w:r w:rsidRPr="008B0FC3">
              <w:rPr>
                <w:rFonts w:cs="Times New Roman"/>
                <w:szCs w:val="22"/>
              </w:rPr>
              <w:t>-</w:t>
            </w:r>
          </w:p>
        </w:tc>
        <w:tc>
          <w:tcPr>
            <w:tcW w:w="992" w:type="dxa"/>
            <w:tcBorders>
              <w:top w:val="single" w:sz="12" w:space="0" w:color="auto"/>
              <w:left w:val="nil"/>
              <w:bottom w:val="single" w:sz="4" w:space="0" w:color="auto"/>
              <w:right w:val="single" w:sz="12" w:space="0" w:color="auto"/>
            </w:tcBorders>
            <w:shd w:val="clear" w:color="auto" w:fill="auto"/>
            <w:noWrap/>
            <w:vAlign w:val="center"/>
            <w:hideMark/>
          </w:tcPr>
          <w:p w14:paraId="65FF3530" w14:textId="6EB9AF6B" w:rsidR="00D97E41" w:rsidRPr="008B0FC3" w:rsidRDefault="00155365" w:rsidP="002424E4">
            <w:pPr>
              <w:spacing w:line="240" w:lineRule="auto"/>
              <w:jc w:val="center"/>
              <w:rPr>
                <w:rFonts w:cs="Times New Roman"/>
                <w:szCs w:val="22"/>
              </w:rPr>
            </w:pPr>
            <w:r w:rsidRPr="008B0FC3">
              <w:rPr>
                <w:rFonts w:cs="Times New Roman"/>
                <w:szCs w:val="22"/>
              </w:rPr>
              <w:t>0,70</w:t>
            </w:r>
          </w:p>
        </w:tc>
        <w:tc>
          <w:tcPr>
            <w:tcW w:w="1452" w:type="dxa"/>
            <w:tcBorders>
              <w:top w:val="single" w:sz="12" w:space="0" w:color="auto"/>
              <w:left w:val="single" w:sz="12" w:space="0" w:color="auto"/>
              <w:bottom w:val="single" w:sz="4" w:space="0" w:color="auto"/>
              <w:right w:val="single" w:sz="4" w:space="0" w:color="auto"/>
            </w:tcBorders>
            <w:vAlign w:val="center"/>
          </w:tcPr>
          <w:p w14:paraId="0AA859EB" w14:textId="77777777" w:rsidR="00D97E41" w:rsidRPr="008B0FC3" w:rsidRDefault="00F1042E" w:rsidP="002424E4">
            <w:pPr>
              <w:spacing w:line="240" w:lineRule="auto"/>
              <w:jc w:val="center"/>
              <w:rPr>
                <w:rFonts w:cs="Times New Roman"/>
                <w:szCs w:val="22"/>
              </w:rPr>
            </w:pPr>
            <w:r w:rsidRPr="008B0FC3">
              <w:rPr>
                <w:rFonts w:cs="Times New Roman"/>
                <w:szCs w:val="22"/>
              </w:rPr>
              <w:t>1,0</w:t>
            </w:r>
          </w:p>
        </w:tc>
        <w:tc>
          <w:tcPr>
            <w:tcW w:w="1417" w:type="dxa"/>
            <w:tcBorders>
              <w:top w:val="single" w:sz="12" w:space="0" w:color="auto"/>
              <w:left w:val="nil"/>
              <w:bottom w:val="single" w:sz="4" w:space="0" w:color="auto"/>
              <w:right w:val="single" w:sz="12" w:space="0" w:color="auto"/>
            </w:tcBorders>
            <w:vAlign w:val="center"/>
          </w:tcPr>
          <w:p w14:paraId="778E39ED" w14:textId="59E419AE" w:rsidR="00D97E41" w:rsidRPr="008B0FC3" w:rsidRDefault="00155365" w:rsidP="002424E4">
            <w:pPr>
              <w:spacing w:line="240" w:lineRule="auto"/>
              <w:jc w:val="center"/>
              <w:rPr>
                <w:rFonts w:cs="Times New Roman"/>
                <w:szCs w:val="22"/>
              </w:rPr>
            </w:pPr>
            <w:r w:rsidRPr="008B0FC3">
              <w:rPr>
                <w:rFonts w:cs="Times New Roman"/>
                <w:szCs w:val="22"/>
              </w:rPr>
              <w:t>-</w:t>
            </w:r>
          </w:p>
        </w:tc>
      </w:tr>
      <w:tr w:rsidR="00D97E41" w:rsidRPr="008B0FC3" w14:paraId="73F2E426" w14:textId="77777777" w:rsidTr="002424E4">
        <w:trPr>
          <w:trHeight w:val="300"/>
        </w:trPr>
        <w:tc>
          <w:tcPr>
            <w:tcW w:w="898" w:type="dxa"/>
            <w:tcBorders>
              <w:top w:val="nil"/>
              <w:left w:val="single" w:sz="12" w:space="0" w:color="auto"/>
              <w:bottom w:val="single" w:sz="4" w:space="0" w:color="auto"/>
              <w:right w:val="single" w:sz="4" w:space="0" w:color="auto"/>
            </w:tcBorders>
            <w:shd w:val="clear" w:color="000000" w:fill="EAF1DD"/>
            <w:noWrap/>
            <w:vAlign w:val="center"/>
            <w:hideMark/>
          </w:tcPr>
          <w:p w14:paraId="11D435F8" w14:textId="0AA266ED" w:rsidR="00D97E41" w:rsidRPr="008B0FC3" w:rsidRDefault="00155365" w:rsidP="002424E4">
            <w:pPr>
              <w:spacing w:line="240" w:lineRule="auto"/>
              <w:jc w:val="center"/>
              <w:rPr>
                <w:rFonts w:cs="Times New Roman"/>
                <w:szCs w:val="22"/>
              </w:rPr>
            </w:pPr>
            <w:r w:rsidRPr="008B0FC3">
              <w:rPr>
                <w:rFonts w:cs="Times New Roman"/>
                <w:szCs w:val="22"/>
              </w:rPr>
              <w:t>8629</w:t>
            </w:r>
          </w:p>
        </w:tc>
        <w:tc>
          <w:tcPr>
            <w:tcW w:w="960" w:type="dxa"/>
            <w:tcBorders>
              <w:top w:val="nil"/>
              <w:left w:val="nil"/>
              <w:bottom w:val="single" w:sz="4" w:space="0" w:color="auto"/>
              <w:right w:val="single" w:sz="12" w:space="0" w:color="auto"/>
            </w:tcBorders>
            <w:shd w:val="clear" w:color="000000" w:fill="EAF1DD"/>
            <w:noWrap/>
            <w:vAlign w:val="center"/>
            <w:hideMark/>
          </w:tcPr>
          <w:p w14:paraId="152722B2" w14:textId="1D141442" w:rsidR="00D97E41" w:rsidRPr="008B0FC3" w:rsidRDefault="00155365" w:rsidP="002424E4">
            <w:pPr>
              <w:spacing w:line="240" w:lineRule="auto"/>
              <w:jc w:val="center"/>
              <w:rPr>
                <w:rFonts w:cs="Times New Roman"/>
                <w:szCs w:val="22"/>
              </w:rPr>
            </w:pPr>
            <w:r w:rsidRPr="008B0FC3">
              <w:rPr>
                <w:rFonts w:cs="Times New Roman"/>
                <w:szCs w:val="22"/>
              </w:rPr>
              <w:t>Š2</w:t>
            </w:r>
          </w:p>
        </w:tc>
        <w:tc>
          <w:tcPr>
            <w:tcW w:w="1134" w:type="dxa"/>
            <w:tcBorders>
              <w:top w:val="nil"/>
              <w:left w:val="single" w:sz="12" w:space="0" w:color="auto"/>
              <w:bottom w:val="single" w:sz="4" w:space="0" w:color="auto"/>
              <w:right w:val="single" w:sz="4" w:space="0" w:color="auto"/>
            </w:tcBorders>
            <w:shd w:val="clear" w:color="auto" w:fill="auto"/>
            <w:noWrap/>
            <w:vAlign w:val="center"/>
            <w:hideMark/>
          </w:tcPr>
          <w:p w14:paraId="196AB19A" w14:textId="053EDCF4" w:rsidR="00D97E41" w:rsidRPr="008B0FC3" w:rsidRDefault="00155365" w:rsidP="002424E4">
            <w:pPr>
              <w:spacing w:line="240" w:lineRule="auto"/>
              <w:jc w:val="center"/>
              <w:rPr>
                <w:rFonts w:cs="Times New Roman"/>
                <w:szCs w:val="22"/>
              </w:rPr>
            </w:pPr>
            <w:r w:rsidRPr="008B0FC3">
              <w:rPr>
                <w:rFonts w:cs="Times New Roman"/>
                <w:szCs w:val="22"/>
              </w:rPr>
              <w:t>0,70</w:t>
            </w:r>
          </w:p>
        </w:tc>
        <w:tc>
          <w:tcPr>
            <w:tcW w:w="1100" w:type="dxa"/>
            <w:tcBorders>
              <w:top w:val="single" w:sz="4" w:space="0" w:color="auto"/>
              <w:left w:val="nil"/>
              <w:bottom w:val="single" w:sz="4" w:space="0" w:color="auto"/>
              <w:right w:val="single" w:sz="4" w:space="0" w:color="auto"/>
            </w:tcBorders>
            <w:vAlign w:val="center"/>
          </w:tcPr>
          <w:p w14:paraId="2D2C177F" w14:textId="77543AE0" w:rsidR="00D97E41" w:rsidRPr="008B0FC3" w:rsidRDefault="00155365" w:rsidP="002424E4">
            <w:pPr>
              <w:spacing w:line="240" w:lineRule="auto"/>
              <w:jc w:val="center"/>
              <w:rPr>
                <w:rFonts w:cs="Times New Roman"/>
                <w:szCs w:val="22"/>
              </w:rPr>
            </w:pPr>
            <w:r w:rsidRPr="008B0FC3">
              <w:rPr>
                <w:rFonts w:cs="Times New Roman"/>
                <w:szCs w:val="22"/>
              </w:rPr>
              <w:t>-</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F8E1F9B" w14:textId="0C086530" w:rsidR="00D97E41" w:rsidRPr="008B0FC3" w:rsidRDefault="00155365" w:rsidP="002424E4">
            <w:pPr>
              <w:spacing w:line="240" w:lineRule="auto"/>
              <w:jc w:val="center"/>
              <w:rPr>
                <w:rFonts w:cs="Times New Roman"/>
                <w:szCs w:val="22"/>
              </w:rPr>
            </w:pPr>
            <w:r w:rsidRPr="008B0FC3">
              <w:rPr>
                <w:rFonts w:cs="Times New Roman"/>
                <w:szCs w:val="22"/>
              </w:rPr>
              <w:t>-</w:t>
            </w:r>
          </w:p>
        </w:tc>
        <w:tc>
          <w:tcPr>
            <w:tcW w:w="992" w:type="dxa"/>
            <w:tcBorders>
              <w:top w:val="nil"/>
              <w:left w:val="nil"/>
              <w:bottom w:val="single" w:sz="4" w:space="0" w:color="auto"/>
              <w:right w:val="single" w:sz="12" w:space="0" w:color="auto"/>
            </w:tcBorders>
            <w:shd w:val="clear" w:color="auto" w:fill="auto"/>
            <w:noWrap/>
            <w:vAlign w:val="center"/>
            <w:hideMark/>
          </w:tcPr>
          <w:p w14:paraId="5A5F4730" w14:textId="3F3DF0AC" w:rsidR="00D97E41" w:rsidRPr="008B0FC3" w:rsidRDefault="00155365" w:rsidP="002424E4">
            <w:pPr>
              <w:spacing w:line="240" w:lineRule="auto"/>
              <w:jc w:val="center"/>
              <w:rPr>
                <w:rFonts w:cs="Times New Roman"/>
                <w:szCs w:val="22"/>
              </w:rPr>
            </w:pPr>
            <w:r w:rsidRPr="008B0FC3">
              <w:rPr>
                <w:rFonts w:cs="Times New Roman"/>
                <w:szCs w:val="22"/>
              </w:rPr>
              <w:t>0,70</w:t>
            </w:r>
          </w:p>
        </w:tc>
        <w:tc>
          <w:tcPr>
            <w:tcW w:w="1452" w:type="dxa"/>
            <w:tcBorders>
              <w:top w:val="nil"/>
              <w:left w:val="single" w:sz="12" w:space="0" w:color="auto"/>
              <w:bottom w:val="single" w:sz="4" w:space="0" w:color="auto"/>
              <w:right w:val="single" w:sz="4" w:space="0" w:color="auto"/>
            </w:tcBorders>
            <w:vAlign w:val="center"/>
          </w:tcPr>
          <w:p w14:paraId="143ADA07" w14:textId="77777777" w:rsidR="00D97E41" w:rsidRPr="008B0FC3" w:rsidRDefault="00C42275" w:rsidP="002424E4">
            <w:pPr>
              <w:spacing w:line="240" w:lineRule="auto"/>
              <w:jc w:val="center"/>
              <w:rPr>
                <w:rFonts w:cs="Times New Roman"/>
                <w:szCs w:val="22"/>
              </w:rPr>
            </w:pPr>
            <w:r w:rsidRPr="008B0FC3">
              <w:rPr>
                <w:rFonts w:cs="Times New Roman"/>
                <w:szCs w:val="22"/>
              </w:rPr>
              <w:t>1,0</w:t>
            </w:r>
          </w:p>
        </w:tc>
        <w:tc>
          <w:tcPr>
            <w:tcW w:w="1417" w:type="dxa"/>
            <w:tcBorders>
              <w:top w:val="nil"/>
              <w:left w:val="nil"/>
              <w:bottom w:val="single" w:sz="4" w:space="0" w:color="auto"/>
              <w:right w:val="single" w:sz="12" w:space="0" w:color="auto"/>
            </w:tcBorders>
            <w:vAlign w:val="center"/>
          </w:tcPr>
          <w:p w14:paraId="30CAED00" w14:textId="24F23A7E" w:rsidR="00D97E41" w:rsidRPr="008B0FC3" w:rsidRDefault="00155365" w:rsidP="002424E4">
            <w:pPr>
              <w:spacing w:line="240" w:lineRule="auto"/>
              <w:jc w:val="center"/>
              <w:rPr>
                <w:rFonts w:cs="Times New Roman"/>
                <w:szCs w:val="22"/>
              </w:rPr>
            </w:pPr>
            <w:r w:rsidRPr="008B0FC3">
              <w:rPr>
                <w:rFonts w:cs="Times New Roman"/>
                <w:szCs w:val="22"/>
              </w:rPr>
              <w:t>-</w:t>
            </w:r>
          </w:p>
        </w:tc>
      </w:tr>
      <w:tr w:rsidR="00D97E41" w:rsidRPr="008B0FC3" w14:paraId="1D425C53" w14:textId="77777777" w:rsidTr="002424E4">
        <w:trPr>
          <w:trHeight w:val="300"/>
        </w:trPr>
        <w:tc>
          <w:tcPr>
            <w:tcW w:w="898" w:type="dxa"/>
            <w:tcBorders>
              <w:top w:val="nil"/>
              <w:left w:val="single" w:sz="12" w:space="0" w:color="auto"/>
              <w:bottom w:val="single" w:sz="4" w:space="0" w:color="auto"/>
              <w:right w:val="single" w:sz="4" w:space="0" w:color="auto"/>
            </w:tcBorders>
            <w:shd w:val="clear" w:color="000000" w:fill="EAF1DD"/>
            <w:noWrap/>
            <w:vAlign w:val="center"/>
          </w:tcPr>
          <w:p w14:paraId="48278D20" w14:textId="28F7EFE5" w:rsidR="00D97E41" w:rsidRPr="008B0FC3" w:rsidRDefault="00155365" w:rsidP="002424E4">
            <w:pPr>
              <w:spacing w:line="240" w:lineRule="auto"/>
              <w:jc w:val="center"/>
              <w:rPr>
                <w:rFonts w:cs="Times New Roman"/>
                <w:szCs w:val="22"/>
              </w:rPr>
            </w:pPr>
            <w:r w:rsidRPr="008B0FC3">
              <w:rPr>
                <w:rFonts w:cs="Times New Roman"/>
                <w:szCs w:val="22"/>
              </w:rPr>
              <w:t>8628</w:t>
            </w:r>
          </w:p>
        </w:tc>
        <w:tc>
          <w:tcPr>
            <w:tcW w:w="960" w:type="dxa"/>
            <w:tcBorders>
              <w:top w:val="nil"/>
              <w:left w:val="nil"/>
              <w:bottom w:val="single" w:sz="4" w:space="0" w:color="auto"/>
              <w:right w:val="single" w:sz="12" w:space="0" w:color="auto"/>
            </w:tcBorders>
            <w:shd w:val="clear" w:color="000000" w:fill="EAF1DD"/>
            <w:noWrap/>
            <w:vAlign w:val="center"/>
          </w:tcPr>
          <w:p w14:paraId="305DE043" w14:textId="77777777" w:rsidR="00D97E41" w:rsidRPr="008B0FC3" w:rsidRDefault="00D97E41" w:rsidP="002424E4">
            <w:pPr>
              <w:spacing w:line="240" w:lineRule="auto"/>
              <w:jc w:val="center"/>
              <w:rPr>
                <w:rFonts w:cs="Times New Roman"/>
                <w:szCs w:val="22"/>
              </w:rPr>
            </w:pPr>
            <w:r w:rsidRPr="008B0FC3">
              <w:rPr>
                <w:rFonts w:cs="Times New Roman"/>
                <w:szCs w:val="22"/>
              </w:rPr>
              <w:t>Š3</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1C7149CD" w14:textId="0BC715DB" w:rsidR="00D97E41" w:rsidRPr="008B0FC3" w:rsidRDefault="00155365" w:rsidP="002424E4">
            <w:pPr>
              <w:spacing w:line="240" w:lineRule="auto"/>
              <w:jc w:val="center"/>
              <w:rPr>
                <w:rFonts w:cs="Times New Roman"/>
                <w:szCs w:val="22"/>
              </w:rPr>
            </w:pPr>
            <w:r w:rsidRPr="008B0FC3">
              <w:rPr>
                <w:rFonts w:cs="Times New Roman"/>
                <w:szCs w:val="22"/>
              </w:rPr>
              <w:t>0,70</w:t>
            </w:r>
          </w:p>
        </w:tc>
        <w:tc>
          <w:tcPr>
            <w:tcW w:w="1100" w:type="dxa"/>
            <w:tcBorders>
              <w:top w:val="single" w:sz="4" w:space="0" w:color="auto"/>
              <w:left w:val="nil"/>
              <w:bottom w:val="single" w:sz="4" w:space="0" w:color="auto"/>
              <w:right w:val="single" w:sz="4" w:space="0" w:color="auto"/>
            </w:tcBorders>
            <w:vAlign w:val="center"/>
          </w:tcPr>
          <w:p w14:paraId="412900AF" w14:textId="1617988D" w:rsidR="00D97E41" w:rsidRPr="008B0FC3" w:rsidRDefault="007D0900" w:rsidP="002424E4">
            <w:pPr>
              <w:spacing w:line="240" w:lineRule="auto"/>
              <w:jc w:val="center"/>
              <w:rPr>
                <w:rFonts w:cs="Times New Roman"/>
                <w:szCs w:val="22"/>
              </w:rPr>
            </w:pPr>
            <w:r w:rsidRPr="008B0FC3">
              <w:rPr>
                <w:rFonts w:cs="Times New Roman"/>
                <w:szCs w:val="22"/>
              </w:rPr>
              <w:t>-</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5D0C10CA" w14:textId="6B1A7DB7" w:rsidR="00D97E41" w:rsidRPr="008B0FC3" w:rsidRDefault="00155365" w:rsidP="002424E4">
            <w:pPr>
              <w:spacing w:line="240" w:lineRule="auto"/>
              <w:jc w:val="center"/>
              <w:rPr>
                <w:rFonts w:cs="Times New Roman"/>
                <w:szCs w:val="22"/>
              </w:rPr>
            </w:pPr>
            <w:r w:rsidRPr="008B0FC3">
              <w:rPr>
                <w:rFonts w:cs="Times New Roman"/>
                <w:szCs w:val="22"/>
              </w:rPr>
              <w:t>-</w:t>
            </w:r>
          </w:p>
        </w:tc>
        <w:tc>
          <w:tcPr>
            <w:tcW w:w="992" w:type="dxa"/>
            <w:tcBorders>
              <w:top w:val="nil"/>
              <w:left w:val="nil"/>
              <w:bottom w:val="single" w:sz="4" w:space="0" w:color="auto"/>
              <w:right w:val="single" w:sz="12" w:space="0" w:color="auto"/>
            </w:tcBorders>
            <w:shd w:val="clear" w:color="auto" w:fill="auto"/>
            <w:noWrap/>
            <w:vAlign w:val="center"/>
          </w:tcPr>
          <w:p w14:paraId="32ECFFB5" w14:textId="3B42B6D0" w:rsidR="00D97E41" w:rsidRPr="008B0FC3" w:rsidRDefault="007D0900" w:rsidP="002424E4">
            <w:pPr>
              <w:spacing w:line="240" w:lineRule="auto"/>
              <w:jc w:val="center"/>
              <w:rPr>
                <w:rFonts w:cs="Times New Roman"/>
                <w:szCs w:val="22"/>
              </w:rPr>
            </w:pPr>
            <w:r w:rsidRPr="008B0FC3">
              <w:rPr>
                <w:rFonts w:cs="Times New Roman"/>
                <w:szCs w:val="22"/>
              </w:rPr>
              <w:t>0,70</w:t>
            </w:r>
          </w:p>
        </w:tc>
        <w:tc>
          <w:tcPr>
            <w:tcW w:w="1452" w:type="dxa"/>
            <w:tcBorders>
              <w:top w:val="nil"/>
              <w:left w:val="single" w:sz="12" w:space="0" w:color="auto"/>
              <w:bottom w:val="single" w:sz="4" w:space="0" w:color="auto"/>
              <w:right w:val="single" w:sz="4" w:space="0" w:color="auto"/>
            </w:tcBorders>
            <w:vAlign w:val="center"/>
          </w:tcPr>
          <w:p w14:paraId="491A92ED" w14:textId="77777777" w:rsidR="00D97E41" w:rsidRPr="008B0FC3" w:rsidRDefault="00617F5A" w:rsidP="002424E4">
            <w:pPr>
              <w:spacing w:line="240" w:lineRule="auto"/>
              <w:jc w:val="center"/>
              <w:rPr>
                <w:rFonts w:cs="Times New Roman"/>
                <w:szCs w:val="22"/>
              </w:rPr>
            </w:pPr>
            <w:r w:rsidRPr="008B0FC3">
              <w:rPr>
                <w:rFonts w:cs="Times New Roman"/>
                <w:szCs w:val="22"/>
              </w:rPr>
              <w:t>1,0</w:t>
            </w:r>
          </w:p>
        </w:tc>
        <w:tc>
          <w:tcPr>
            <w:tcW w:w="1417" w:type="dxa"/>
            <w:tcBorders>
              <w:top w:val="nil"/>
              <w:left w:val="nil"/>
              <w:bottom w:val="single" w:sz="4" w:space="0" w:color="auto"/>
              <w:right w:val="single" w:sz="12" w:space="0" w:color="auto"/>
            </w:tcBorders>
            <w:vAlign w:val="center"/>
          </w:tcPr>
          <w:p w14:paraId="1B837594" w14:textId="11AB99B8" w:rsidR="00D97E41" w:rsidRPr="008B0FC3" w:rsidRDefault="007D0900" w:rsidP="002424E4">
            <w:pPr>
              <w:spacing w:line="240" w:lineRule="auto"/>
              <w:jc w:val="center"/>
              <w:rPr>
                <w:rFonts w:cs="Times New Roman"/>
                <w:szCs w:val="22"/>
              </w:rPr>
            </w:pPr>
            <w:r w:rsidRPr="008B0FC3">
              <w:rPr>
                <w:rFonts w:cs="Times New Roman"/>
                <w:szCs w:val="22"/>
              </w:rPr>
              <w:t>-</w:t>
            </w:r>
          </w:p>
        </w:tc>
      </w:tr>
      <w:tr w:rsidR="00D97E41" w:rsidRPr="008B0FC3" w14:paraId="0635E344" w14:textId="77777777" w:rsidTr="002424E4">
        <w:trPr>
          <w:trHeight w:val="300"/>
        </w:trPr>
        <w:tc>
          <w:tcPr>
            <w:tcW w:w="898" w:type="dxa"/>
            <w:tcBorders>
              <w:top w:val="nil"/>
              <w:left w:val="single" w:sz="12" w:space="0" w:color="auto"/>
              <w:bottom w:val="single" w:sz="4" w:space="0" w:color="auto"/>
              <w:right w:val="single" w:sz="4" w:space="0" w:color="auto"/>
            </w:tcBorders>
            <w:shd w:val="clear" w:color="000000" w:fill="EAF1DD"/>
            <w:noWrap/>
            <w:vAlign w:val="center"/>
          </w:tcPr>
          <w:p w14:paraId="15DCA06A" w14:textId="540A29CE" w:rsidR="00D97E41" w:rsidRPr="008B0FC3" w:rsidRDefault="00155365" w:rsidP="002424E4">
            <w:pPr>
              <w:spacing w:line="240" w:lineRule="auto"/>
              <w:jc w:val="center"/>
              <w:rPr>
                <w:rFonts w:cs="Times New Roman"/>
                <w:szCs w:val="22"/>
              </w:rPr>
            </w:pPr>
            <w:r w:rsidRPr="008B0FC3">
              <w:rPr>
                <w:rFonts w:cs="Times New Roman"/>
                <w:szCs w:val="22"/>
              </w:rPr>
              <w:t>8627</w:t>
            </w:r>
          </w:p>
        </w:tc>
        <w:tc>
          <w:tcPr>
            <w:tcW w:w="960" w:type="dxa"/>
            <w:tcBorders>
              <w:top w:val="nil"/>
              <w:left w:val="nil"/>
              <w:bottom w:val="single" w:sz="4" w:space="0" w:color="auto"/>
              <w:right w:val="single" w:sz="12" w:space="0" w:color="auto"/>
            </w:tcBorders>
            <w:shd w:val="clear" w:color="000000" w:fill="EAF1DD"/>
            <w:noWrap/>
            <w:vAlign w:val="center"/>
          </w:tcPr>
          <w:p w14:paraId="4C02C831" w14:textId="77777777" w:rsidR="00D97E41" w:rsidRPr="008B0FC3" w:rsidRDefault="00D97E41" w:rsidP="002424E4">
            <w:pPr>
              <w:spacing w:line="240" w:lineRule="auto"/>
              <w:jc w:val="center"/>
              <w:rPr>
                <w:rFonts w:cs="Times New Roman"/>
                <w:szCs w:val="22"/>
              </w:rPr>
            </w:pPr>
            <w:r w:rsidRPr="008B0FC3">
              <w:rPr>
                <w:rFonts w:cs="Times New Roman"/>
                <w:szCs w:val="22"/>
              </w:rPr>
              <w:t>Š4</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21C6D6CB" w14:textId="3FA9029A" w:rsidR="00D97E41" w:rsidRPr="008B0FC3" w:rsidRDefault="00155365" w:rsidP="002424E4">
            <w:pPr>
              <w:spacing w:line="240" w:lineRule="auto"/>
              <w:jc w:val="center"/>
              <w:rPr>
                <w:rFonts w:cs="Times New Roman"/>
                <w:szCs w:val="22"/>
              </w:rPr>
            </w:pPr>
            <w:r w:rsidRPr="008B0FC3">
              <w:rPr>
                <w:rFonts w:cs="Times New Roman"/>
                <w:szCs w:val="22"/>
              </w:rPr>
              <w:t>0,70</w:t>
            </w:r>
          </w:p>
        </w:tc>
        <w:tc>
          <w:tcPr>
            <w:tcW w:w="1100" w:type="dxa"/>
            <w:tcBorders>
              <w:top w:val="single" w:sz="4" w:space="0" w:color="auto"/>
              <w:left w:val="nil"/>
              <w:bottom w:val="single" w:sz="4" w:space="0" w:color="auto"/>
              <w:right w:val="single" w:sz="4" w:space="0" w:color="auto"/>
            </w:tcBorders>
            <w:vAlign w:val="center"/>
          </w:tcPr>
          <w:p w14:paraId="642AFF2A" w14:textId="284EFA71" w:rsidR="00D97E41" w:rsidRPr="008B0FC3" w:rsidRDefault="0089718F" w:rsidP="002424E4">
            <w:pPr>
              <w:spacing w:line="240" w:lineRule="auto"/>
              <w:jc w:val="center"/>
              <w:rPr>
                <w:rFonts w:cs="Times New Roman"/>
                <w:szCs w:val="22"/>
              </w:rPr>
            </w:pPr>
            <w:r w:rsidRPr="008B0FC3">
              <w:rPr>
                <w:rFonts w:cs="Times New Roman"/>
                <w:szCs w:val="22"/>
              </w:rPr>
              <w:t>2</w:t>
            </w:r>
            <w:r w:rsidR="00155365" w:rsidRPr="008B0FC3">
              <w:rPr>
                <w:rFonts w:cs="Times New Roman"/>
                <w:szCs w:val="22"/>
              </w:rPr>
              <w:t>,</w:t>
            </w:r>
            <w:r w:rsidRPr="008B0FC3">
              <w:rPr>
                <w:rFonts w:cs="Times New Roman"/>
                <w:szCs w:val="22"/>
              </w:rPr>
              <w:t>1</w:t>
            </w:r>
            <w:r w:rsidR="00155365" w:rsidRPr="008B0FC3">
              <w:rPr>
                <w:rFonts w:cs="Times New Roman"/>
                <w:szCs w:val="22"/>
              </w:rPr>
              <w:t>9</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608BCACB" w14:textId="6241D46A" w:rsidR="00D97E41" w:rsidRPr="008B0FC3" w:rsidRDefault="00155365" w:rsidP="002424E4">
            <w:pPr>
              <w:spacing w:line="240" w:lineRule="auto"/>
              <w:jc w:val="center"/>
              <w:rPr>
                <w:rFonts w:cs="Times New Roman"/>
                <w:szCs w:val="22"/>
              </w:rPr>
            </w:pPr>
            <w:r w:rsidRPr="008B0FC3">
              <w:rPr>
                <w:rFonts w:cs="Times New Roman"/>
                <w:szCs w:val="22"/>
              </w:rPr>
              <w:t>-</w:t>
            </w:r>
          </w:p>
        </w:tc>
        <w:tc>
          <w:tcPr>
            <w:tcW w:w="992" w:type="dxa"/>
            <w:tcBorders>
              <w:top w:val="nil"/>
              <w:left w:val="nil"/>
              <w:bottom w:val="single" w:sz="4" w:space="0" w:color="auto"/>
              <w:right w:val="single" w:sz="12" w:space="0" w:color="auto"/>
            </w:tcBorders>
            <w:shd w:val="clear" w:color="auto" w:fill="auto"/>
            <w:noWrap/>
            <w:vAlign w:val="center"/>
          </w:tcPr>
          <w:p w14:paraId="6DEFB418" w14:textId="56B8221D" w:rsidR="00D97E41" w:rsidRPr="008B0FC3" w:rsidRDefault="00155365" w:rsidP="002424E4">
            <w:pPr>
              <w:spacing w:line="240" w:lineRule="auto"/>
              <w:jc w:val="center"/>
              <w:rPr>
                <w:rFonts w:cs="Times New Roman"/>
                <w:szCs w:val="22"/>
              </w:rPr>
            </w:pPr>
            <w:r w:rsidRPr="008B0FC3">
              <w:rPr>
                <w:rFonts w:cs="Times New Roman"/>
                <w:szCs w:val="22"/>
              </w:rPr>
              <w:t>2,</w:t>
            </w:r>
            <w:r w:rsidR="0089718F" w:rsidRPr="008B0FC3">
              <w:rPr>
                <w:rFonts w:cs="Times New Roman"/>
                <w:szCs w:val="22"/>
              </w:rPr>
              <w:t>8</w:t>
            </w:r>
            <w:r w:rsidRPr="008B0FC3">
              <w:rPr>
                <w:rFonts w:cs="Times New Roman"/>
                <w:szCs w:val="22"/>
              </w:rPr>
              <w:t>9</w:t>
            </w:r>
          </w:p>
        </w:tc>
        <w:tc>
          <w:tcPr>
            <w:tcW w:w="1452" w:type="dxa"/>
            <w:tcBorders>
              <w:top w:val="nil"/>
              <w:left w:val="single" w:sz="12" w:space="0" w:color="auto"/>
              <w:bottom w:val="single" w:sz="4" w:space="0" w:color="auto"/>
              <w:right w:val="single" w:sz="4" w:space="0" w:color="auto"/>
            </w:tcBorders>
            <w:vAlign w:val="center"/>
          </w:tcPr>
          <w:p w14:paraId="1FDD0192" w14:textId="77777777" w:rsidR="00D97E41" w:rsidRPr="008B0FC3" w:rsidRDefault="009371EB" w:rsidP="002424E4">
            <w:pPr>
              <w:spacing w:line="240" w:lineRule="auto"/>
              <w:jc w:val="center"/>
              <w:rPr>
                <w:rFonts w:cs="Times New Roman"/>
                <w:szCs w:val="22"/>
              </w:rPr>
            </w:pPr>
            <w:r w:rsidRPr="008B0FC3">
              <w:rPr>
                <w:rFonts w:cs="Times New Roman"/>
                <w:szCs w:val="22"/>
              </w:rPr>
              <w:t>1,0</w:t>
            </w:r>
          </w:p>
        </w:tc>
        <w:tc>
          <w:tcPr>
            <w:tcW w:w="1417" w:type="dxa"/>
            <w:tcBorders>
              <w:top w:val="nil"/>
              <w:left w:val="nil"/>
              <w:bottom w:val="single" w:sz="4" w:space="0" w:color="auto"/>
              <w:right w:val="single" w:sz="12" w:space="0" w:color="auto"/>
            </w:tcBorders>
            <w:vAlign w:val="center"/>
          </w:tcPr>
          <w:p w14:paraId="7C91F376" w14:textId="68EF54BF" w:rsidR="00D97E41" w:rsidRPr="008B0FC3" w:rsidRDefault="00155365" w:rsidP="002424E4">
            <w:pPr>
              <w:spacing w:line="240" w:lineRule="auto"/>
              <w:jc w:val="center"/>
              <w:rPr>
                <w:rFonts w:cs="Times New Roman"/>
                <w:szCs w:val="22"/>
              </w:rPr>
            </w:pPr>
            <w:r w:rsidRPr="008B0FC3">
              <w:rPr>
                <w:rFonts w:cs="Times New Roman"/>
                <w:szCs w:val="22"/>
              </w:rPr>
              <w:t>1,0</w:t>
            </w:r>
          </w:p>
        </w:tc>
      </w:tr>
      <w:tr w:rsidR="00D97E41" w:rsidRPr="008B0FC3" w14:paraId="3A56B023" w14:textId="77777777" w:rsidTr="002424E4">
        <w:trPr>
          <w:trHeight w:val="300"/>
        </w:trPr>
        <w:tc>
          <w:tcPr>
            <w:tcW w:w="898" w:type="dxa"/>
            <w:tcBorders>
              <w:top w:val="nil"/>
              <w:left w:val="single" w:sz="12" w:space="0" w:color="auto"/>
              <w:bottom w:val="single" w:sz="4" w:space="0" w:color="auto"/>
              <w:right w:val="single" w:sz="4" w:space="0" w:color="auto"/>
            </w:tcBorders>
            <w:shd w:val="clear" w:color="000000" w:fill="EAF1DD"/>
            <w:noWrap/>
            <w:vAlign w:val="center"/>
          </w:tcPr>
          <w:p w14:paraId="5C5C62AC" w14:textId="63920D08" w:rsidR="00D97E41" w:rsidRPr="008B0FC3" w:rsidRDefault="00155365" w:rsidP="002424E4">
            <w:pPr>
              <w:spacing w:line="240" w:lineRule="auto"/>
              <w:jc w:val="center"/>
              <w:rPr>
                <w:rFonts w:cs="Times New Roman"/>
                <w:szCs w:val="22"/>
              </w:rPr>
            </w:pPr>
            <w:r w:rsidRPr="008B0FC3">
              <w:rPr>
                <w:rFonts w:cs="Times New Roman"/>
                <w:szCs w:val="22"/>
              </w:rPr>
              <w:t>7084</w:t>
            </w:r>
          </w:p>
        </w:tc>
        <w:tc>
          <w:tcPr>
            <w:tcW w:w="960" w:type="dxa"/>
            <w:tcBorders>
              <w:top w:val="nil"/>
              <w:left w:val="nil"/>
              <w:bottom w:val="single" w:sz="4" w:space="0" w:color="auto"/>
              <w:right w:val="single" w:sz="12" w:space="0" w:color="auto"/>
            </w:tcBorders>
            <w:shd w:val="clear" w:color="000000" w:fill="EAF1DD"/>
            <w:noWrap/>
            <w:vAlign w:val="center"/>
          </w:tcPr>
          <w:p w14:paraId="5F423873" w14:textId="77777777" w:rsidR="00D97E41" w:rsidRPr="008B0FC3" w:rsidRDefault="00D97E41" w:rsidP="002424E4">
            <w:pPr>
              <w:spacing w:line="240" w:lineRule="auto"/>
              <w:jc w:val="center"/>
              <w:rPr>
                <w:rFonts w:cs="Times New Roman"/>
                <w:szCs w:val="22"/>
              </w:rPr>
            </w:pPr>
            <w:r w:rsidRPr="008B0FC3">
              <w:rPr>
                <w:rFonts w:cs="Times New Roman"/>
                <w:szCs w:val="22"/>
              </w:rPr>
              <w:t>Š5</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0A7C7710" w14:textId="31FF33A0" w:rsidR="00D97E41" w:rsidRPr="008B0FC3" w:rsidRDefault="00155365" w:rsidP="002424E4">
            <w:pPr>
              <w:spacing w:line="240" w:lineRule="auto"/>
              <w:jc w:val="center"/>
              <w:rPr>
                <w:rFonts w:cs="Times New Roman"/>
                <w:szCs w:val="22"/>
              </w:rPr>
            </w:pPr>
            <w:r w:rsidRPr="008B0FC3">
              <w:rPr>
                <w:rFonts w:cs="Times New Roman"/>
                <w:szCs w:val="22"/>
              </w:rPr>
              <w:t>0,70</w:t>
            </w:r>
          </w:p>
        </w:tc>
        <w:tc>
          <w:tcPr>
            <w:tcW w:w="1100" w:type="dxa"/>
            <w:tcBorders>
              <w:top w:val="single" w:sz="4" w:space="0" w:color="auto"/>
              <w:left w:val="nil"/>
              <w:bottom w:val="single" w:sz="4" w:space="0" w:color="auto"/>
              <w:right w:val="single" w:sz="4" w:space="0" w:color="auto"/>
            </w:tcBorders>
            <w:vAlign w:val="center"/>
          </w:tcPr>
          <w:p w14:paraId="63F047C6" w14:textId="73B88513" w:rsidR="00D97E41" w:rsidRPr="008B0FC3" w:rsidRDefault="0089718F" w:rsidP="002424E4">
            <w:pPr>
              <w:spacing w:line="240" w:lineRule="auto"/>
              <w:jc w:val="center"/>
              <w:rPr>
                <w:rFonts w:cs="Times New Roman"/>
                <w:szCs w:val="22"/>
              </w:rPr>
            </w:pPr>
            <w:r w:rsidRPr="008B0FC3">
              <w:rPr>
                <w:rFonts w:cs="Times New Roman"/>
                <w:szCs w:val="22"/>
              </w:rPr>
              <w:t>2</w:t>
            </w:r>
            <w:r w:rsidR="00155365" w:rsidRPr="008B0FC3">
              <w:rPr>
                <w:rFonts w:cs="Times New Roman"/>
                <w:szCs w:val="22"/>
              </w:rPr>
              <w:t>,</w:t>
            </w:r>
            <w:r w:rsidRPr="008B0FC3">
              <w:rPr>
                <w:rFonts w:cs="Times New Roman"/>
                <w:szCs w:val="22"/>
              </w:rPr>
              <w:t>1</w:t>
            </w:r>
            <w:r w:rsidR="00155365" w:rsidRPr="008B0FC3">
              <w:rPr>
                <w:rFonts w:cs="Times New Roman"/>
                <w:szCs w:val="22"/>
              </w:rPr>
              <w:t>3</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13FE6228" w14:textId="5650D408" w:rsidR="00D97E41" w:rsidRPr="008B0FC3" w:rsidRDefault="00155365" w:rsidP="002424E4">
            <w:pPr>
              <w:spacing w:line="240" w:lineRule="auto"/>
              <w:jc w:val="center"/>
              <w:rPr>
                <w:rFonts w:cs="Times New Roman"/>
                <w:szCs w:val="22"/>
              </w:rPr>
            </w:pPr>
            <w:r w:rsidRPr="008B0FC3">
              <w:rPr>
                <w:rFonts w:cs="Times New Roman"/>
                <w:szCs w:val="22"/>
              </w:rPr>
              <w:t>-</w:t>
            </w:r>
          </w:p>
        </w:tc>
        <w:tc>
          <w:tcPr>
            <w:tcW w:w="992" w:type="dxa"/>
            <w:tcBorders>
              <w:top w:val="nil"/>
              <w:left w:val="nil"/>
              <w:bottom w:val="single" w:sz="4" w:space="0" w:color="auto"/>
              <w:right w:val="single" w:sz="12" w:space="0" w:color="auto"/>
            </w:tcBorders>
            <w:shd w:val="clear" w:color="auto" w:fill="auto"/>
            <w:noWrap/>
            <w:vAlign w:val="center"/>
          </w:tcPr>
          <w:p w14:paraId="2108493D" w14:textId="66A64BB0" w:rsidR="00D97E41" w:rsidRPr="008B0FC3" w:rsidRDefault="00155365" w:rsidP="002424E4">
            <w:pPr>
              <w:spacing w:line="240" w:lineRule="auto"/>
              <w:jc w:val="center"/>
              <w:rPr>
                <w:rFonts w:cs="Times New Roman"/>
                <w:szCs w:val="22"/>
              </w:rPr>
            </w:pPr>
            <w:r w:rsidRPr="008B0FC3">
              <w:rPr>
                <w:rFonts w:cs="Times New Roman"/>
                <w:szCs w:val="22"/>
              </w:rPr>
              <w:t>2,</w:t>
            </w:r>
            <w:r w:rsidR="0089718F" w:rsidRPr="008B0FC3">
              <w:rPr>
                <w:rFonts w:cs="Times New Roman"/>
                <w:szCs w:val="22"/>
              </w:rPr>
              <w:t>8</w:t>
            </w:r>
            <w:r w:rsidRPr="008B0FC3">
              <w:rPr>
                <w:rFonts w:cs="Times New Roman"/>
                <w:szCs w:val="22"/>
              </w:rPr>
              <w:t>3</w:t>
            </w:r>
          </w:p>
        </w:tc>
        <w:tc>
          <w:tcPr>
            <w:tcW w:w="1452" w:type="dxa"/>
            <w:tcBorders>
              <w:top w:val="nil"/>
              <w:left w:val="single" w:sz="12" w:space="0" w:color="auto"/>
              <w:bottom w:val="single" w:sz="4" w:space="0" w:color="auto"/>
              <w:right w:val="single" w:sz="4" w:space="0" w:color="auto"/>
            </w:tcBorders>
            <w:vAlign w:val="center"/>
          </w:tcPr>
          <w:p w14:paraId="55EE5F2F" w14:textId="77777777" w:rsidR="00D97E41" w:rsidRPr="008B0FC3" w:rsidRDefault="009371EB" w:rsidP="002424E4">
            <w:pPr>
              <w:spacing w:line="240" w:lineRule="auto"/>
              <w:jc w:val="center"/>
              <w:rPr>
                <w:rFonts w:cs="Times New Roman"/>
                <w:szCs w:val="22"/>
              </w:rPr>
            </w:pPr>
            <w:r w:rsidRPr="008B0FC3">
              <w:rPr>
                <w:rFonts w:cs="Times New Roman"/>
                <w:szCs w:val="22"/>
              </w:rPr>
              <w:t>1,0</w:t>
            </w:r>
          </w:p>
        </w:tc>
        <w:tc>
          <w:tcPr>
            <w:tcW w:w="1417" w:type="dxa"/>
            <w:tcBorders>
              <w:top w:val="nil"/>
              <w:left w:val="nil"/>
              <w:bottom w:val="single" w:sz="4" w:space="0" w:color="auto"/>
              <w:right w:val="single" w:sz="12" w:space="0" w:color="auto"/>
            </w:tcBorders>
            <w:vAlign w:val="center"/>
          </w:tcPr>
          <w:p w14:paraId="34C6667E" w14:textId="2FD256A6" w:rsidR="00D97E41" w:rsidRPr="008B0FC3" w:rsidRDefault="00155365" w:rsidP="002424E4">
            <w:pPr>
              <w:spacing w:line="240" w:lineRule="auto"/>
              <w:jc w:val="center"/>
              <w:rPr>
                <w:rFonts w:cs="Times New Roman"/>
                <w:szCs w:val="22"/>
              </w:rPr>
            </w:pPr>
            <w:r w:rsidRPr="008B0FC3">
              <w:rPr>
                <w:rFonts w:cs="Times New Roman"/>
                <w:szCs w:val="22"/>
              </w:rPr>
              <w:t>1,0</w:t>
            </w:r>
          </w:p>
        </w:tc>
      </w:tr>
      <w:tr w:rsidR="00D97E41" w:rsidRPr="008B0FC3" w14:paraId="6D684410" w14:textId="77777777" w:rsidTr="002424E4">
        <w:trPr>
          <w:trHeight w:val="300"/>
        </w:trPr>
        <w:tc>
          <w:tcPr>
            <w:tcW w:w="898" w:type="dxa"/>
            <w:tcBorders>
              <w:top w:val="nil"/>
              <w:left w:val="single" w:sz="12" w:space="0" w:color="auto"/>
              <w:bottom w:val="single" w:sz="4" w:space="0" w:color="auto"/>
              <w:right w:val="single" w:sz="4" w:space="0" w:color="auto"/>
            </w:tcBorders>
            <w:shd w:val="clear" w:color="000000" w:fill="EAF1DD"/>
            <w:noWrap/>
            <w:vAlign w:val="center"/>
          </w:tcPr>
          <w:p w14:paraId="2AB009AE" w14:textId="40F1090A" w:rsidR="00D97E41" w:rsidRPr="008B0FC3" w:rsidRDefault="00155365" w:rsidP="002424E4">
            <w:pPr>
              <w:spacing w:line="240" w:lineRule="auto"/>
              <w:jc w:val="center"/>
              <w:rPr>
                <w:rFonts w:cs="Times New Roman"/>
                <w:szCs w:val="22"/>
              </w:rPr>
            </w:pPr>
            <w:r w:rsidRPr="008B0FC3">
              <w:rPr>
                <w:rFonts w:cs="Times New Roman"/>
                <w:szCs w:val="22"/>
              </w:rPr>
              <w:t>7083</w:t>
            </w:r>
          </w:p>
        </w:tc>
        <w:tc>
          <w:tcPr>
            <w:tcW w:w="960" w:type="dxa"/>
            <w:tcBorders>
              <w:top w:val="nil"/>
              <w:left w:val="nil"/>
              <w:bottom w:val="single" w:sz="4" w:space="0" w:color="auto"/>
              <w:right w:val="single" w:sz="12" w:space="0" w:color="auto"/>
            </w:tcBorders>
            <w:shd w:val="clear" w:color="000000" w:fill="EAF1DD"/>
            <w:noWrap/>
            <w:vAlign w:val="center"/>
          </w:tcPr>
          <w:p w14:paraId="3E701F51" w14:textId="77777777" w:rsidR="00D97E41" w:rsidRPr="008B0FC3" w:rsidRDefault="00D97E41" w:rsidP="002424E4">
            <w:pPr>
              <w:spacing w:line="240" w:lineRule="auto"/>
              <w:jc w:val="center"/>
              <w:rPr>
                <w:rFonts w:cs="Times New Roman"/>
                <w:szCs w:val="22"/>
              </w:rPr>
            </w:pPr>
            <w:r w:rsidRPr="008B0FC3">
              <w:rPr>
                <w:rFonts w:cs="Times New Roman"/>
                <w:szCs w:val="22"/>
              </w:rPr>
              <w:t>Š6</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6E6E4EB9" w14:textId="446CECC5" w:rsidR="00D97E41" w:rsidRPr="008B0FC3" w:rsidRDefault="00155365" w:rsidP="002424E4">
            <w:pPr>
              <w:spacing w:line="240" w:lineRule="auto"/>
              <w:jc w:val="center"/>
              <w:rPr>
                <w:rFonts w:cs="Times New Roman"/>
                <w:szCs w:val="22"/>
              </w:rPr>
            </w:pPr>
            <w:r w:rsidRPr="008B0FC3">
              <w:rPr>
                <w:rFonts w:cs="Times New Roman"/>
                <w:szCs w:val="22"/>
              </w:rPr>
              <w:t>0,70</w:t>
            </w:r>
          </w:p>
        </w:tc>
        <w:tc>
          <w:tcPr>
            <w:tcW w:w="1100" w:type="dxa"/>
            <w:tcBorders>
              <w:top w:val="single" w:sz="4" w:space="0" w:color="auto"/>
              <w:left w:val="nil"/>
              <w:bottom w:val="single" w:sz="4" w:space="0" w:color="auto"/>
              <w:right w:val="single" w:sz="4" w:space="0" w:color="auto"/>
            </w:tcBorders>
            <w:vAlign w:val="center"/>
          </w:tcPr>
          <w:p w14:paraId="18CF096B" w14:textId="3772E90D" w:rsidR="00D97E41" w:rsidRPr="008B0FC3" w:rsidRDefault="0089718F" w:rsidP="002424E4">
            <w:pPr>
              <w:spacing w:line="240" w:lineRule="auto"/>
              <w:jc w:val="center"/>
              <w:rPr>
                <w:rFonts w:cs="Times New Roman"/>
                <w:szCs w:val="22"/>
              </w:rPr>
            </w:pPr>
            <w:r w:rsidRPr="008B0FC3">
              <w:rPr>
                <w:rFonts w:cs="Times New Roman"/>
                <w:szCs w:val="22"/>
              </w:rPr>
              <w:t>2</w:t>
            </w:r>
            <w:r w:rsidR="00155365" w:rsidRPr="008B0FC3">
              <w:rPr>
                <w:rFonts w:cs="Times New Roman"/>
                <w:szCs w:val="22"/>
              </w:rPr>
              <w:t>,</w:t>
            </w:r>
            <w:r w:rsidRPr="008B0FC3">
              <w:rPr>
                <w:rFonts w:cs="Times New Roman"/>
                <w:szCs w:val="22"/>
              </w:rPr>
              <w:t>1</w:t>
            </w:r>
            <w:r w:rsidR="00155365" w:rsidRPr="008B0FC3">
              <w:rPr>
                <w:rFonts w:cs="Times New Roman"/>
                <w:szCs w:val="22"/>
              </w:rPr>
              <w:t>2</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59A90B3C" w14:textId="34C226C8" w:rsidR="00D97E41" w:rsidRPr="008B0FC3" w:rsidRDefault="00155365" w:rsidP="002424E4">
            <w:pPr>
              <w:spacing w:line="240" w:lineRule="auto"/>
              <w:jc w:val="center"/>
              <w:rPr>
                <w:rFonts w:cs="Times New Roman"/>
                <w:szCs w:val="22"/>
              </w:rPr>
            </w:pPr>
            <w:r w:rsidRPr="008B0FC3">
              <w:rPr>
                <w:rFonts w:cs="Times New Roman"/>
                <w:szCs w:val="22"/>
              </w:rPr>
              <w:t>-</w:t>
            </w:r>
          </w:p>
        </w:tc>
        <w:tc>
          <w:tcPr>
            <w:tcW w:w="992" w:type="dxa"/>
            <w:tcBorders>
              <w:top w:val="nil"/>
              <w:left w:val="nil"/>
              <w:bottom w:val="single" w:sz="4" w:space="0" w:color="auto"/>
              <w:right w:val="single" w:sz="12" w:space="0" w:color="auto"/>
            </w:tcBorders>
            <w:shd w:val="clear" w:color="auto" w:fill="auto"/>
            <w:noWrap/>
            <w:vAlign w:val="center"/>
          </w:tcPr>
          <w:p w14:paraId="4520F3EF" w14:textId="1FF82323" w:rsidR="00D97E41" w:rsidRPr="008B0FC3" w:rsidRDefault="00155365" w:rsidP="002424E4">
            <w:pPr>
              <w:spacing w:line="240" w:lineRule="auto"/>
              <w:jc w:val="center"/>
              <w:rPr>
                <w:rFonts w:cs="Times New Roman"/>
                <w:szCs w:val="22"/>
              </w:rPr>
            </w:pPr>
            <w:r w:rsidRPr="008B0FC3">
              <w:rPr>
                <w:rFonts w:cs="Times New Roman"/>
                <w:szCs w:val="22"/>
              </w:rPr>
              <w:t>2,</w:t>
            </w:r>
            <w:r w:rsidR="0089718F" w:rsidRPr="008B0FC3">
              <w:rPr>
                <w:rFonts w:cs="Times New Roman"/>
                <w:szCs w:val="22"/>
              </w:rPr>
              <w:t>8</w:t>
            </w:r>
            <w:r w:rsidRPr="008B0FC3">
              <w:rPr>
                <w:rFonts w:cs="Times New Roman"/>
                <w:szCs w:val="22"/>
              </w:rPr>
              <w:t>2</w:t>
            </w:r>
          </w:p>
        </w:tc>
        <w:tc>
          <w:tcPr>
            <w:tcW w:w="1452" w:type="dxa"/>
            <w:tcBorders>
              <w:top w:val="nil"/>
              <w:left w:val="single" w:sz="12" w:space="0" w:color="auto"/>
              <w:bottom w:val="single" w:sz="4" w:space="0" w:color="auto"/>
              <w:right w:val="single" w:sz="4" w:space="0" w:color="auto"/>
            </w:tcBorders>
            <w:vAlign w:val="center"/>
          </w:tcPr>
          <w:p w14:paraId="1C3AEA53" w14:textId="77777777" w:rsidR="00D97E41" w:rsidRPr="008B0FC3" w:rsidRDefault="00A4113B" w:rsidP="002424E4">
            <w:pPr>
              <w:spacing w:line="240" w:lineRule="auto"/>
              <w:jc w:val="center"/>
              <w:rPr>
                <w:rFonts w:cs="Times New Roman"/>
                <w:szCs w:val="22"/>
              </w:rPr>
            </w:pPr>
            <w:r w:rsidRPr="008B0FC3">
              <w:rPr>
                <w:rFonts w:cs="Times New Roman"/>
                <w:szCs w:val="22"/>
              </w:rPr>
              <w:t>1,0</w:t>
            </w:r>
          </w:p>
        </w:tc>
        <w:tc>
          <w:tcPr>
            <w:tcW w:w="1417" w:type="dxa"/>
            <w:tcBorders>
              <w:top w:val="nil"/>
              <w:left w:val="nil"/>
              <w:bottom w:val="single" w:sz="4" w:space="0" w:color="auto"/>
              <w:right w:val="single" w:sz="12" w:space="0" w:color="auto"/>
            </w:tcBorders>
            <w:vAlign w:val="center"/>
          </w:tcPr>
          <w:p w14:paraId="1B3C251B" w14:textId="1C632059" w:rsidR="00D97E41" w:rsidRPr="008B0FC3" w:rsidRDefault="00155365" w:rsidP="002424E4">
            <w:pPr>
              <w:spacing w:line="240" w:lineRule="auto"/>
              <w:jc w:val="center"/>
              <w:rPr>
                <w:rFonts w:cs="Times New Roman"/>
                <w:szCs w:val="22"/>
              </w:rPr>
            </w:pPr>
            <w:r w:rsidRPr="008B0FC3">
              <w:rPr>
                <w:rFonts w:cs="Times New Roman"/>
                <w:szCs w:val="22"/>
              </w:rPr>
              <w:t>1,0</w:t>
            </w:r>
          </w:p>
        </w:tc>
      </w:tr>
      <w:tr w:rsidR="00D97E41" w:rsidRPr="008B0FC3" w14:paraId="18F74F0C" w14:textId="77777777" w:rsidTr="002424E4">
        <w:trPr>
          <w:trHeight w:val="300"/>
        </w:trPr>
        <w:tc>
          <w:tcPr>
            <w:tcW w:w="898" w:type="dxa"/>
            <w:tcBorders>
              <w:top w:val="nil"/>
              <w:left w:val="single" w:sz="12" w:space="0" w:color="auto"/>
              <w:bottom w:val="single" w:sz="4" w:space="0" w:color="auto"/>
              <w:right w:val="single" w:sz="4" w:space="0" w:color="auto"/>
            </w:tcBorders>
            <w:shd w:val="clear" w:color="000000" w:fill="EAF1DD"/>
            <w:noWrap/>
            <w:vAlign w:val="center"/>
          </w:tcPr>
          <w:p w14:paraId="5408100C" w14:textId="47564AE2" w:rsidR="00D97E41" w:rsidRPr="008B0FC3" w:rsidRDefault="00155365" w:rsidP="002424E4">
            <w:pPr>
              <w:spacing w:line="240" w:lineRule="auto"/>
              <w:jc w:val="center"/>
              <w:rPr>
                <w:rFonts w:cs="Times New Roman"/>
                <w:szCs w:val="22"/>
              </w:rPr>
            </w:pPr>
            <w:r w:rsidRPr="008B0FC3">
              <w:rPr>
                <w:rFonts w:cs="Times New Roman"/>
                <w:szCs w:val="22"/>
              </w:rPr>
              <w:t>7086</w:t>
            </w:r>
          </w:p>
        </w:tc>
        <w:tc>
          <w:tcPr>
            <w:tcW w:w="960" w:type="dxa"/>
            <w:tcBorders>
              <w:top w:val="nil"/>
              <w:left w:val="nil"/>
              <w:bottom w:val="single" w:sz="4" w:space="0" w:color="auto"/>
              <w:right w:val="single" w:sz="12" w:space="0" w:color="auto"/>
            </w:tcBorders>
            <w:shd w:val="clear" w:color="000000" w:fill="EAF1DD"/>
            <w:noWrap/>
            <w:vAlign w:val="center"/>
          </w:tcPr>
          <w:p w14:paraId="545C8E79" w14:textId="59423260" w:rsidR="00D97E41" w:rsidRPr="008B0FC3" w:rsidRDefault="00D97E41" w:rsidP="002424E4">
            <w:pPr>
              <w:spacing w:line="240" w:lineRule="auto"/>
              <w:jc w:val="center"/>
              <w:rPr>
                <w:rFonts w:cs="Times New Roman"/>
                <w:szCs w:val="22"/>
              </w:rPr>
            </w:pPr>
            <w:r w:rsidRPr="008B0FC3">
              <w:rPr>
                <w:rFonts w:cs="Times New Roman"/>
                <w:szCs w:val="22"/>
              </w:rPr>
              <w:t>Š6</w:t>
            </w:r>
            <w:r w:rsidR="00155365" w:rsidRPr="008B0FC3">
              <w:rPr>
                <w:rFonts w:cs="Times New Roman"/>
                <w:szCs w:val="22"/>
              </w:rPr>
              <w:t>a</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7DD2AA4B" w14:textId="2D04D4A6" w:rsidR="00D97E41" w:rsidRPr="008B0FC3" w:rsidRDefault="00155365" w:rsidP="002424E4">
            <w:pPr>
              <w:spacing w:line="240" w:lineRule="auto"/>
              <w:jc w:val="center"/>
              <w:rPr>
                <w:rFonts w:cs="Times New Roman"/>
                <w:szCs w:val="22"/>
              </w:rPr>
            </w:pPr>
            <w:r w:rsidRPr="008B0FC3">
              <w:rPr>
                <w:rFonts w:cs="Times New Roman"/>
                <w:szCs w:val="22"/>
              </w:rPr>
              <w:t>1,</w:t>
            </w:r>
            <w:r w:rsidR="0089718F" w:rsidRPr="008B0FC3">
              <w:rPr>
                <w:rFonts w:cs="Times New Roman"/>
                <w:szCs w:val="22"/>
              </w:rPr>
              <w:t>4</w:t>
            </w:r>
            <w:r w:rsidRPr="008B0FC3">
              <w:rPr>
                <w:rFonts w:cs="Times New Roman"/>
                <w:szCs w:val="22"/>
              </w:rPr>
              <w:t>4</w:t>
            </w:r>
          </w:p>
        </w:tc>
        <w:tc>
          <w:tcPr>
            <w:tcW w:w="1100" w:type="dxa"/>
            <w:tcBorders>
              <w:top w:val="single" w:sz="4" w:space="0" w:color="auto"/>
              <w:left w:val="nil"/>
              <w:bottom w:val="single" w:sz="4" w:space="0" w:color="auto"/>
              <w:right w:val="single" w:sz="4" w:space="0" w:color="auto"/>
            </w:tcBorders>
            <w:vAlign w:val="center"/>
          </w:tcPr>
          <w:p w14:paraId="15DC067F" w14:textId="77777777" w:rsidR="00D97E41" w:rsidRPr="008B0FC3" w:rsidRDefault="00D97E41" w:rsidP="002424E4">
            <w:pPr>
              <w:spacing w:line="240" w:lineRule="auto"/>
              <w:jc w:val="center"/>
              <w:rPr>
                <w:rFonts w:cs="Times New Roman"/>
                <w:szCs w:val="22"/>
              </w:rPr>
            </w:pPr>
            <w:r w:rsidRPr="008B0FC3">
              <w:rPr>
                <w:rFonts w:cs="Times New Roman"/>
                <w:szCs w:val="22"/>
              </w:rPr>
              <w:t>-</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34F1E45E" w14:textId="08EBE0F9" w:rsidR="00D97E41" w:rsidRPr="008B0FC3" w:rsidRDefault="003A6ECD" w:rsidP="002424E4">
            <w:pPr>
              <w:spacing w:line="240" w:lineRule="auto"/>
              <w:jc w:val="center"/>
              <w:rPr>
                <w:rFonts w:cs="Times New Roman"/>
                <w:szCs w:val="22"/>
              </w:rPr>
            </w:pPr>
            <w:r w:rsidRPr="008B0FC3">
              <w:rPr>
                <w:rFonts w:cs="Times New Roman"/>
                <w:szCs w:val="22"/>
              </w:rPr>
              <w:t>2,</w:t>
            </w:r>
            <w:r w:rsidR="0089718F" w:rsidRPr="008B0FC3">
              <w:rPr>
                <w:rFonts w:cs="Times New Roman"/>
                <w:szCs w:val="22"/>
              </w:rPr>
              <w:t>0</w:t>
            </w:r>
            <w:r w:rsidRPr="008B0FC3">
              <w:rPr>
                <w:rFonts w:cs="Times New Roman"/>
                <w:szCs w:val="22"/>
              </w:rPr>
              <w:t>0</w:t>
            </w:r>
          </w:p>
        </w:tc>
        <w:tc>
          <w:tcPr>
            <w:tcW w:w="992" w:type="dxa"/>
            <w:tcBorders>
              <w:top w:val="nil"/>
              <w:left w:val="nil"/>
              <w:bottom w:val="single" w:sz="4" w:space="0" w:color="auto"/>
              <w:right w:val="single" w:sz="12" w:space="0" w:color="auto"/>
            </w:tcBorders>
            <w:shd w:val="clear" w:color="auto" w:fill="auto"/>
            <w:noWrap/>
            <w:vAlign w:val="center"/>
          </w:tcPr>
          <w:p w14:paraId="3ED2C6C3" w14:textId="0546366C" w:rsidR="00D97E41" w:rsidRPr="008B0FC3" w:rsidRDefault="00155365" w:rsidP="002424E4">
            <w:pPr>
              <w:spacing w:line="240" w:lineRule="auto"/>
              <w:jc w:val="center"/>
              <w:rPr>
                <w:rFonts w:cs="Times New Roman"/>
                <w:szCs w:val="22"/>
              </w:rPr>
            </w:pPr>
            <w:r w:rsidRPr="008B0FC3">
              <w:rPr>
                <w:rFonts w:cs="Times New Roman"/>
                <w:szCs w:val="22"/>
              </w:rPr>
              <w:t>3,</w:t>
            </w:r>
            <w:r w:rsidR="0089718F" w:rsidRPr="008B0FC3">
              <w:rPr>
                <w:rFonts w:cs="Times New Roman"/>
                <w:szCs w:val="22"/>
              </w:rPr>
              <w:t>4</w:t>
            </w:r>
            <w:r w:rsidRPr="008B0FC3">
              <w:rPr>
                <w:rFonts w:cs="Times New Roman"/>
                <w:szCs w:val="22"/>
              </w:rPr>
              <w:t>4</w:t>
            </w:r>
          </w:p>
        </w:tc>
        <w:tc>
          <w:tcPr>
            <w:tcW w:w="1452" w:type="dxa"/>
            <w:tcBorders>
              <w:top w:val="nil"/>
              <w:left w:val="single" w:sz="12" w:space="0" w:color="auto"/>
              <w:bottom w:val="single" w:sz="4" w:space="0" w:color="auto"/>
              <w:right w:val="single" w:sz="4" w:space="0" w:color="auto"/>
            </w:tcBorders>
            <w:vAlign w:val="center"/>
          </w:tcPr>
          <w:p w14:paraId="371FEDCC" w14:textId="77777777" w:rsidR="00D97E41" w:rsidRPr="008B0FC3" w:rsidRDefault="00A4113B" w:rsidP="002424E4">
            <w:pPr>
              <w:spacing w:line="240" w:lineRule="auto"/>
              <w:jc w:val="center"/>
              <w:rPr>
                <w:rFonts w:cs="Times New Roman"/>
                <w:szCs w:val="22"/>
              </w:rPr>
            </w:pPr>
            <w:r w:rsidRPr="008B0FC3">
              <w:rPr>
                <w:rFonts w:cs="Times New Roman"/>
                <w:szCs w:val="22"/>
              </w:rPr>
              <w:t>1,0</w:t>
            </w:r>
          </w:p>
        </w:tc>
        <w:tc>
          <w:tcPr>
            <w:tcW w:w="1417" w:type="dxa"/>
            <w:tcBorders>
              <w:top w:val="nil"/>
              <w:left w:val="nil"/>
              <w:bottom w:val="single" w:sz="4" w:space="0" w:color="auto"/>
              <w:right w:val="single" w:sz="12" w:space="0" w:color="auto"/>
            </w:tcBorders>
            <w:vAlign w:val="center"/>
          </w:tcPr>
          <w:p w14:paraId="5EF28579" w14:textId="55FD9FCA" w:rsidR="00D97E41" w:rsidRPr="008B0FC3" w:rsidRDefault="00155365" w:rsidP="002424E4">
            <w:pPr>
              <w:spacing w:line="240" w:lineRule="auto"/>
              <w:jc w:val="center"/>
              <w:rPr>
                <w:rFonts w:cs="Times New Roman"/>
                <w:szCs w:val="22"/>
              </w:rPr>
            </w:pPr>
            <w:r w:rsidRPr="008B0FC3">
              <w:rPr>
                <w:rFonts w:cs="Times New Roman"/>
                <w:szCs w:val="22"/>
              </w:rPr>
              <w:t>1,8 x 1,8</w:t>
            </w:r>
          </w:p>
        </w:tc>
      </w:tr>
      <w:tr w:rsidR="008B0FC3" w:rsidRPr="008B0FC3" w14:paraId="3A03AA4A" w14:textId="77777777" w:rsidTr="001B4F9D">
        <w:trPr>
          <w:trHeight w:val="300"/>
        </w:trPr>
        <w:tc>
          <w:tcPr>
            <w:tcW w:w="898" w:type="dxa"/>
            <w:tcBorders>
              <w:top w:val="nil"/>
              <w:left w:val="single" w:sz="12" w:space="0" w:color="auto"/>
              <w:bottom w:val="single" w:sz="4" w:space="0" w:color="auto"/>
              <w:right w:val="single" w:sz="4" w:space="0" w:color="auto"/>
            </w:tcBorders>
            <w:shd w:val="clear" w:color="000000" w:fill="EAF1DD"/>
            <w:noWrap/>
            <w:vAlign w:val="center"/>
          </w:tcPr>
          <w:p w14:paraId="62A03BE6" w14:textId="15493CB2" w:rsidR="00D97E41" w:rsidRPr="008B0FC3" w:rsidRDefault="00155365" w:rsidP="002424E4">
            <w:pPr>
              <w:spacing w:line="240" w:lineRule="auto"/>
              <w:jc w:val="center"/>
              <w:rPr>
                <w:rFonts w:cs="Times New Roman"/>
                <w:szCs w:val="22"/>
              </w:rPr>
            </w:pPr>
            <w:r w:rsidRPr="008B0FC3">
              <w:rPr>
                <w:rFonts w:cs="Times New Roman"/>
                <w:szCs w:val="22"/>
              </w:rPr>
              <w:t>7082</w:t>
            </w:r>
          </w:p>
        </w:tc>
        <w:tc>
          <w:tcPr>
            <w:tcW w:w="960" w:type="dxa"/>
            <w:tcBorders>
              <w:top w:val="nil"/>
              <w:left w:val="nil"/>
              <w:bottom w:val="single" w:sz="4" w:space="0" w:color="auto"/>
              <w:right w:val="single" w:sz="12" w:space="0" w:color="auto"/>
            </w:tcBorders>
            <w:shd w:val="clear" w:color="000000" w:fill="EAF1DD"/>
            <w:noWrap/>
            <w:vAlign w:val="center"/>
          </w:tcPr>
          <w:p w14:paraId="3826DDC4" w14:textId="77777777" w:rsidR="00D97E41" w:rsidRPr="008B0FC3" w:rsidRDefault="00D97E41" w:rsidP="002424E4">
            <w:pPr>
              <w:spacing w:line="240" w:lineRule="auto"/>
              <w:jc w:val="center"/>
              <w:rPr>
                <w:rFonts w:cs="Times New Roman"/>
                <w:szCs w:val="22"/>
              </w:rPr>
            </w:pPr>
            <w:r w:rsidRPr="008B0FC3">
              <w:rPr>
                <w:rFonts w:cs="Times New Roman"/>
                <w:szCs w:val="22"/>
              </w:rPr>
              <w:t>Š7</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461681AB" w14:textId="5C4B272F" w:rsidR="00D97E41" w:rsidRPr="008B0FC3" w:rsidRDefault="0089718F" w:rsidP="002424E4">
            <w:pPr>
              <w:spacing w:line="240" w:lineRule="auto"/>
              <w:jc w:val="center"/>
              <w:rPr>
                <w:rFonts w:cs="Times New Roman"/>
                <w:szCs w:val="22"/>
              </w:rPr>
            </w:pPr>
            <w:r w:rsidRPr="008B0FC3">
              <w:rPr>
                <w:rFonts w:cs="Times New Roman"/>
                <w:szCs w:val="22"/>
              </w:rPr>
              <w:t>0</w:t>
            </w:r>
            <w:r w:rsidR="00155365" w:rsidRPr="008B0FC3">
              <w:rPr>
                <w:rFonts w:cs="Times New Roman"/>
                <w:szCs w:val="22"/>
              </w:rPr>
              <w:t>,</w:t>
            </w:r>
            <w:r w:rsidRPr="008B0FC3">
              <w:rPr>
                <w:rFonts w:cs="Times New Roman"/>
                <w:szCs w:val="22"/>
              </w:rPr>
              <w:t>9</w:t>
            </w:r>
            <w:r w:rsidR="00155365" w:rsidRPr="008B0FC3">
              <w:rPr>
                <w:rFonts w:cs="Times New Roman"/>
                <w:szCs w:val="22"/>
              </w:rPr>
              <w:t>0</w:t>
            </w:r>
          </w:p>
        </w:tc>
        <w:tc>
          <w:tcPr>
            <w:tcW w:w="1100" w:type="dxa"/>
            <w:tcBorders>
              <w:top w:val="single" w:sz="4" w:space="0" w:color="auto"/>
              <w:left w:val="nil"/>
              <w:bottom w:val="single" w:sz="4" w:space="0" w:color="auto"/>
              <w:right w:val="single" w:sz="4" w:space="0" w:color="auto"/>
            </w:tcBorders>
            <w:vAlign w:val="center"/>
          </w:tcPr>
          <w:p w14:paraId="68795250" w14:textId="77777777" w:rsidR="00D97E41" w:rsidRPr="008B0FC3" w:rsidRDefault="00D97E41" w:rsidP="002424E4">
            <w:pPr>
              <w:spacing w:line="240" w:lineRule="auto"/>
              <w:jc w:val="center"/>
              <w:rPr>
                <w:rFonts w:cs="Times New Roman"/>
                <w:szCs w:val="22"/>
              </w:rPr>
            </w:pPr>
            <w:r w:rsidRPr="008B0FC3">
              <w:rPr>
                <w:rFonts w:cs="Times New Roman"/>
                <w:szCs w:val="22"/>
              </w:rPr>
              <w:t>-</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1157B50F" w14:textId="3AD4BE7B" w:rsidR="00D97E41" w:rsidRPr="008B0FC3" w:rsidRDefault="0089718F" w:rsidP="002424E4">
            <w:pPr>
              <w:spacing w:line="240" w:lineRule="auto"/>
              <w:jc w:val="center"/>
              <w:rPr>
                <w:rFonts w:cs="Times New Roman"/>
                <w:szCs w:val="22"/>
              </w:rPr>
            </w:pPr>
            <w:r w:rsidRPr="008B0FC3">
              <w:rPr>
                <w:rFonts w:cs="Times New Roman"/>
                <w:szCs w:val="22"/>
              </w:rPr>
              <w:t>2</w:t>
            </w:r>
            <w:r w:rsidR="00155365" w:rsidRPr="008B0FC3">
              <w:rPr>
                <w:rFonts w:cs="Times New Roman"/>
                <w:szCs w:val="22"/>
              </w:rPr>
              <w:t>,</w:t>
            </w:r>
            <w:r w:rsidRPr="008B0FC3">
              <w:rPr>
                <w:rFonts w:cs="Times New Roman"/>
                <w:szCs w:val="22"/>
              </w:rPr>
              <w:t>0</w:t>
            </w:r>
            <w:r w:rsidR="00155365" w:rsidRPr="008B0FC3">
              <w:rPr>
                <w:rFonts w:cs="Times New Roman"/>
                <w:szCs w:val="22"/>
              </w:rPr>
              <w:t>0</w:t>
            </w:r>
          </w:p>
        </w:tc>
        <w:tc>
          <w:tcPr>
            <w:tcW w:w="992" w:type="dxa"/>
            <w:tcBorders>
              <w:top w:val="nil"/>
              <w:left w:val="nil"/>
              <w:bottom w:val="single" w:sz="4" w:space="0" w:color="auto"/>
              <w:right w:val="single" w:sz="12" w:space="0" w:color="auto"/>
            </w:tcBorders>
            <w:shd w:val="clear" w:color="auto" w:fill="auto"/>
            <w:noWrap/>
            <w:vAlign w:val="center"/>
          </w:tcPr>
          <w:p w14:paraId="6CC9CCCC" w14:textId="023C1747" w:rsidR="00D97E41" w:rsidRPr="008B0FC3" w:rsidRDefault="00155365" w:rsidP="002424E4">
            <w:pPr>
              <w:spacing w:line="240" w:lineRule="auto"/>
              <w:jc w:val="center"/>
              <w:rPr>
                <w:rFonts w:cs="Times New Roman"/>
                <w:szCs w:val="22"/>
              </w:rPr>
            </w:pPr>
            <w:r w:rsidRPr="008B0FC3">
              <w:rPr>
                <w:rFonts w:cs="Times New Roman"/>
                <w:szCs w:val="22"/>
              </w:rPr>
              <w:t>2,</w:t>
            </w:r>
            <w:r w:rsidR="0089718F" w:rsidRPr="008B0FC3">
              <w:rPr>
                <w:rFonts w:cs="Times New Roman"/>
                <w:szCs w:val="22"/>
              </w:rPr>
              <w:t>9</w:t>
            </w:r>
            <w:r w:rsidRPr="008B0FC3">
              <w:rPr>
                <w:rFonts w:cs="Times New Roman"/>
                <w:szCs w:val="22"/>
              </w:rPr>
              <w:t>0</w:t>
            </w:r>
          </w:p>
        </w:tc>
        <w:tc>
          <w:tcPr>
            <w:tcW w:w="1452" w:type="dxa"/>
            <w:tcBorders>
              <w:top w:val="nil"/>
              <w:left w:val="single" w:sz="12" w:space="0" w:color="auto"/>
              <w:bottom w:val="single" w:sz="4" w:space="0" w:color="auto"/>
              <w:right w:val="single" w:sz="4" w:space="0" w:color="auto"/>
            </w:tcBorders>
            <w:vAlign w:val="center"/>
          </w:tcPr>
          <w:p w14:paraId="14C2B1D6" w14:textId="77777777" w:rsidR="00D97E41" w:rsidRPr="008B0FC3" w:rsidRDefault="00D171E3" w:rsidP="002424E4">
            <w:pPr>
              <w:spacing w:line="240" w:lineRule="auto"/>
              <w:jc w:val="center"/>
              <w:rPr>
                <w:rFonts w:cs="Times New Roman"/>
                <w:szCs w:val="22"/>
              </w:rPr>
            </w:pPr>
            <w:r w:rsidRPr="008B0FC3">
              <w:rPr>
                <w:rFonts w:cs="Times New Roman"/>
                <w:szCs w:val="22"/>
              </w:rPr>
              <w:t>1,0</w:t>
            </w:r>
          </w:p>
        </w:tc>
        <w:tc>
          <w:tcPr>
            <w:tcW w:w="1417" w:type="dxa"/>
            <w:tcBorders>
              <w:top w:val="nil"/>
              <w:left w:val="nil"/>
              <w:bottom w:val="single" w:sz="4" w:space="0" w:color="auto"/>
              <w:right w:val="single" w:sz="12" w:space="0" w:color="auto"/>
            </w:tcBorders>
            <w:vAlign w:val="center"/>
          </w:tcPr>
          <w:p w14:paraId="0C2D1ECF" w14:textId="33BD9057" w:rsidR="00D97E41" w:rsidRPr="008B0FC3" w:rsidRDefault="00155365" w:rsidP="002424E4">
            <w:pPr>
              <w:spacing w:line="240" w:lineRule="auto"/>
              <w:jc w:val="center"/>
              <w:rPr>
                <w:rFonts w:cs="Times New Roman"/>
                <w:szCs w:val="22"/>
              </w:rPr>
            </w:pPr>
            <w:r w:rsidRPr="008B0FC3">
              <w:rPr>
                <w:rFonts w:cs="Times New Roman"/>
                <w:szCs w:val="22"/>
              </w:rPr>
              <w:t>1,8 x 1,8</w:t>
            </w:r>
          </w:p>
        </w:tc>
      </w:tr>
      <w:tr w:rsidR="008B0FC3" w:rsidRPr="008B0FC3" w14:paraId="365D54D7" w14:textId="77777777" w:rsidTr="001B4F9D">
        <w:trPr>
          <w:trHeight w:val="300"/>
        </w:trPr>
        <w:tc>
          <w:tcPr>
            <w:tcW w:w="898" w:type="dxa"/>
            <w:tcBorders>
              <w:top w:val="single" w:sz="4" w:space="0" w:color="auto"/>
              <w:left w:val="single" w:sz="12" w:space="0" w:color="auto"/>
              <w:bottom w:val="single" w:sz="12" w:space="0" w:color="auto"/>
              <w:right w:val="single" w:sz="4" w:space="0" w:color="auto"/>
            </w:tcBorders>
            <w:shd w:val="clear" w:color="000000" w:fill="EAF1DD"/>
            <w:noWrap/>
            <w:vAlign w:val="center"/>
          </w:tcPr>
          <w:p w14:paraId="39A8B07A" w14:textId="7AC8F030" w:rsidR="00D97E41" w:rsidRPr="008B0FC3" w:rsidRDefault="00155365" w:rsidP="002424E4">
            <w:pPr>
              <w:spacing w:line="240" w:lineRule="auto"/>
              <w:jc w:val="center"/>
              <w:rPr>
                <w:rFonts w:cs="Times New Roman"/>
                <w:szCs w:val="22"/>
              </w:rPr>
            </w:pPr>
            <w:r w:rsidRPr="008B0FC3">
              <w:rPr>
                <w:rFonts w:cs="Times New Roman"/>
                <w:szCs w:val="22"/>
              </w:rPr>
              <w:t>7222</w:t>
            </w:r>
          </w:p>
        </w:tc>
        <w:tc>
          <w:tcPr>
            <w:tcW w:w="960" w:type="dxa"/>
            <w:tcBorders>
              <w:top w:val="single" w:sz="4" w:space="0" w:color="auto"/>
              <w:left w:val="nil"/>
              <w:bottom w:val="single" w:sz="12" w:space="0" w:color="auto"/>
              <w:right w:val="single" w:sz="12" w:space="0" w:color="auto"/>
            </w:tcBorders>
            <w:shd w:val="clear" w:color="000000" w:fill="EAF1DD"/>
            <w:noWrap/>
            <w:vAlign w:val="center"/>
          </w:tcPr>
          <w:p w14:paraId="1786F8C3" w14:textId="77777777" w:rsidR="00D97E41" w:rsidRPr="008B0FC3" w:rsidRDefault="00D97E41" w:rsidP="002424E4">
            <w:pPr>
              <w:spacing w:line="240" w:lineRule="auto"/>
              <w:jc w:val="center"/>
              <w:rPr>
                <w:rFonts w:cs="Times New Roman"/>
                <w:szCs w:val="22"/>
              </w:rPr>
            </w:pPr>
            <w:r w:rsidRPr="008B0FC3">
              <w:rPr>
                <w:rFonts w:cs="Times New Roman"/>
                <w:szCs w:val="22"/>
              </w:rPr>
              <w:t>Š8</w:t>
            </w:r>
          </w:p>
        </w:tc>
        <w:tc>
          <w:tcPr>
            <w:tcW w:w="1134" w:type="dxa"/>
            <w:tcBorders>
              <w:top w:val="single" w:sz="4" w:space="0" w:color="auto"/>
              <w:left w:val="single" w:sz="12" w:space="0" w:color="auto"/>
              <w:bottom w:val="single" w:sz="12" w:space="0" w:color="auto"/>
              <w:right w:val="single" w:sz="4" w:space="0" w:color="auto"/>
            </w:tcBorders>
            <w:shd w:val="clear" w:color="auto" w:fill="auto"/>
            <w:noWrap/>
            <w:vAlign w:val="center"/>
          </w:tcPr>
          <w:p w14:paraId="30020C69" w14:textId="408FA68B" w:rsidR="00D97E41" w:rsidRPr="008B0FC3" w:rsidRDefault="0089718F" w:rsidP="002424E4">
            <w:pPr>
              <w:spacing w:line="240" w:lineRule="auto"/>
              <w:jc w:val="center"/>
              <w:rPr>
                <w:rFonts w:cs="Times New Roman"/>
                <w:szCs w:val="22"/>
              </w:rPr>
            </w:pPr>
            <w:r w:rsidRPr="008B0FC3">
              <w:rPr>
                <w:rFonts w:cs="Times New Roman"/>
                <w:szCs w:val="22"/>
              </w:rPr>
              <w:t>1</w:t>
            </w:r>
            <w:r w:rsidR="001B4F9D" w:rsidRPr="008B0FC3">
              <w:rPr>
                <w:rFonts w:cs="Times New Roman"/>
                <w:szCs w:val="22"/>
              </w:rPr>
              <w:t>,</w:t>
            </w:r>
            <w:r w:rsidRPr="008B0FC3">
              <w:rPr>
                <w:rFonts w:cs="Times New Roman"/>
                <w:szCs w:val="22"/>
              </w:rPr>
              <w:t>2</w:t>
            </w:r>
            <w:r w:rsidR="001B4F9D" w:rsidRPr="008B0FC3">
              <w:rPr>
                <w:rFonts w:cs="Times New Roman"/>
                <w:szCs w:val="22"/>
              </w:rPr>
              <w:t>5</w:t>
            </w:r>
          </w:p>
        </w:tc>
        <w:tc>
          <w:tcPr>
            <w:tcW w:w="1100" w:type="dxa"/>
            <w:tcBorders>
              <w:top w:val="single" w:sz="4" w:space="0" w:color="auto"/>
              <w:left w:val="nil"/>
              <w:bottom w:val="single" w:sz="12" w:space="0" w:color="auto"/>
              <w:right w:val="single" w:sz="4" w:space="0" w:color="auto"/>
            </w:tcBorders>
            <w:vAlign w:val="center"/>
          </w:tcPr>
          <w:p w14:paraId="59A2DB21" w14:textId="77777777" w:rsidR="00D97E41" w:rsidRPr="008B0FC3" w:rsidRDefault="00D97E41" w:rsidP="002424E4">
            <w:pPr>
              <w:spacing w:line="240" w:lineRule="auto"/>
              <w:jc w:val="center"/>
              <w:rPr>
                <w:rFonts w:cs="Times New Roman"/>
                <w:szCs w:val="22"/>
              </w:rPr>
            </w:pPr>
            <w:r w:rsidRPr="008B0FC3">
              <w:rPr>
                <w:rFonts w:cs="Times New Roman"/>
                <w:szCs w:val="22"/>
              </w:rPr>
              <w:t>-</w:t>
            </w:r>
          </w:p>
        </w:tc>
        <w:tc>
          <w:tcPr>
            <w:tcW w:w="1134"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57BD69A9" w14:textId="0FE5B0E2" w:rsidR="00D97E41" w:rsidRPr="008B0FC3" w:rsidRDefault="00D171E3" w:rsidP="002424E4">
            <w:pPr>
              <w:spacing w:line="240" w:lineRule="auto"/>
              <w:jc w:val="center"/>
              <w:rPr>
                <w:rFonts w:cs="Times New Roman"/>
                <w:szCs w:val="22"/>
              </w:rPr>
            </w:pPr>
            <w:r w:rsidRPr="008B0FC3">
              <w:rPr>
                <w:rFonts w:cs="Times New Roman"/>
                <w:szCs w:val="22"/>
              </w:rPr>
              <w:t>2,</w:t>
            </w:r>
            <w:r w:rsidR="0089718F" w:rsidRPr="008B0FC3">
              <w:rPr>
                <w:rFonts w:cs="Times New Roman"/>
                <w:szCs w:val="22"/>
              </w:rPr>
              <w:t>0</w:t>
            </w:r>
            <w:r w:rsidRPr="008B0FC3">
              <w:rPr>
                <w:rFonts w:cs="Times New Roman"/>
                <w:szCs w:val="22"/>
              </w:rPr>
              <w:t>0</w:t>
            </w:r>
          </w:p>
        </w:tc>
        <w:tc>
          <w:tcPr>
            <w:tcW w:w="992" w:type="dxa"/>
            <w:tcBorders>
              <w:top w:val="single" w:sz="4" w:space="0" w:color="auto"/>
              <w:left w:val="nil"/>
              <w:bottom w:val="single" w:sz="12" w:space="0" w:color="auto"/>
              <w:right w:val="single" w:sz="12" w:space="0" w:color="auto"/>
            </w:tcBorders>
            <w:shd w:val="clear" w:color="auto" w:fill="auto"/>
            <w:noWrap/>
            <w:vAlign w:val="center"/>
          </w:tcPr>
          <w:p w14:paraId="188B6F15" w14:textId="44AAE9D3" w:rsidR="00D97E41" w:rsidRPr="008B0FC3" w:rsidRDefault="0089718F" w:rsidP="002424E4">
            <w:pPr>
              <w:spacing w:line="240" w:lineRule="auto"/>
              <w:jc w:val="center"/>
              <w:rPr>
                <w:rFonts w:cs="Times New Roman"/>
                <w:szCs w:val="22"/>
              </w:rPr>
            </w:pPr>
            <w:r w:rsidRPr="008B0FC3">
              <w:rPr>
                <w:rFonts w:cs="Times New Roman"/>
                <w:szCs w:val="22"/>
              </w:rPr>
              <w:t>3</w:t>
            </w:r>
            <w:r w:rsidR="001B4F9D" w:rsidRPr="008B0FC3">
              <w:rPr>
                <w:rFonts w:cs="Times New Roman"/>
                <w:szCs w:val="22"/>
              </w:rPr>
              <w:t>,</w:t>
            </w:r>
            <w:r w:rsidRPr="008B0FC3">
              <w:rPr>
                <w:rFonts w:cs="Times New Roman"/>
                <w:szCs w:val="22"/>
              </w:rPr>
              <w:t>2</w:t>
            </w:r>
            <w:r w:rsidR="001B4F9D" w:rsidRPr="008B0FC3">
              <w:rPr>
                <w:rFonts w:cs="Times New Roman"/>
                <w:szCs w:val="22"/>
              </w:rPr>
              <w:t>5</w:t>
            </w:r>
          </w:p>
        </w:tc>
        <w:tc>
          <w:tcPr>
            <w:tcW w:w="1452" w:type="dxa"/>
            <w:tcBorders>
              <w:top w:val="single" w:sz="4" w:space="0" w:color="auto"/>
              <w:left w:val="single" w:sz="12" w:space="0" w:color="auto"/>
              <w:bottom w:val="single" w:sz="12" w:space="0" w:color="auto"/>
              <w:right w:val="single" w:sz="4" w:space="0" w:color="auto"/>
            </w:tcBorders>
            <w:vAlign w:val="center"/>
          </w:tcPr>
          <w:p w14:paraId="383147AE" w14:textId="77777777" w:rsidR="00D97E41" w:rsidRPr="008B0FC3" w:rsidRDefault="00D171E3" w:rsidP="002424E4">
            <w:pPr>
              <w:spacing w:line="240" w:lineRule="auto"/>
              <w:jc w:val="center"/>
              <w:rPr>
                <w:rFonts w:cs="Times New Roman"/>
                <w:szCs w:val="22"/>
              </w:rPr>
            </w:pPr>
            <w:r w:rsidRPr="008B0FC3">
              <w:rPr>
                <w:rFonts w:cs="Times New Roman"/>
                <w:szCs w:val="22"/>
              </w:rPr>
              <w:t>1,0</w:t>
            </w:r>
          </w:p>
        </w:tc>
        <w:tc>
          <w:tcPr>
            <w:tcW w:w="1417" w:type="dxa"/>
            <w:tcBorders>
              <w:top w:val="single" w:sz="4" w:space="0" w:color="auto"/>
              <w:left w:val="nil"/>
              <w:bottom w:val="single" w:sz="12" w:space="0" w:color="auto"/>
              <w:right w:val="single" w:sz="12" w:space="0" w:color="auto"/>
            </w:tcBorders>
            <w:vAlign w:val="center"/>
          </w:tcPr>
          <w:p w14:paraId="5597A9E3" w14:textId="3C6F66C3" w:rsidR="00D97E41" w:rsidRPr="008B0FC3" w:rsidRDefault="001B4F9D" w:rsidP="00D171E3">
            <w:pPr>
              <w:spacing w:line="240" w:lineRule="auto"/>
              <w:jc w:val="center"/>
              <w:rPr>
                <w:rFonts w:cs="Times New Roman"/>
                <w:szCs w:val="22"/>
              </w:rPr>
            </w:pPr>
            <w:r w:rsidRPr="008B0FC3">
              <w:rPr>
                <w:rFonts w:cs="Times New Roman"/>
                <w:szCs w:val="22"/>
              </w:rPr>
              <w:t>1,8 x 1,8</w:t>
            </w:r>
          </w:p>
        </w:tc>
      </w:tr>
    </w:tbl>
    <w:p w14:paraId="297EA5E3" w14:textId="77777777" w:rsidR="00D97E41" w:rsidRPr="008B0FC3" w:rsidRDefault="00D97E41" w:rsidP="005A5433">
      <w:pPr>
        <w:pStyle w:val="AqpText"/>
      </w:pPr>
    </w:p>
    <w:p w14:paraId="7AAEB4A0" w14:textId="23ABDBF6" w:rsidR="0042381C" w:rsidRDefault="003F7E17" w:rsidP="005A5433">
      <w:pPr>
        <w:pStyle w:val="AqpText"/>
      </w:pPr>
      <w:r w:rsidRPr="008B0FC3">
        <w:t>U šachet</w:t>
      </w:r>
      <w:r w:rsidR="00541272" w:rsidRPr="008B0FC3">
        <w:t xml:space="preserve"> </w:t>
      </w:r>
      <w:r w:rsidR="0089718F" w:rsidRPr="008B0FC3">
        <w:t>8630 – 7083</w:t>
      </w:r>
      <w:r w:rsidRPr="008B0FC3">
        <w:t xml:space="preserve"> se předpokládá </w:t>
      </w:r>
      <w:r w:rsidR="0089718F" w:rsidRPr="008B0FC3">
        <w:t xml:space="preserve">prefabrikované dno ze železobetonu. U šachet 7086 – 7222 se předpokládá </w:t>
      </w:r>
      <w:r w:rsidRPr="008B0FC3">
        <w:t>monolitické dno</w:t>
      </w:r>
      <w:r w:rsidR="000D7216" w:rsidRPr="008B0FC3">
        <w:t xml:space="preserve"> ze železobetonu. Hloubky šachet jsou udávané od poklopu po spodní hranu </w:t>
      </w:r>
      <w:r w:rsidR="00541272" w:rsidRPr="008B0FC3">
        <w:t xml:space="preserve">konstrukce </w:t>
      </w:r>
      <w:r w:rsidR="000D7216" w:rsidRPr="008B0FC3">
        <w:t>betonového dna. V případě výpočtu objemu bouracích prací je třeba připočíst 300 mm na stěny šachty. Strop a dno monolitické části šachet se předpokládá tloušťky 300 mm.</w:t>
      </w:r>
    </w:p>
    <w:p w14:paraId="132227DD" w14:textId="64822AE3" w:rsidR="00DE79A3" w:rsidRPr="00DE79A3" w:rsidRDefault="00DE79A3" w:rsidP="005A5433">
      <w:pPr>
        <w:pStyle w:val="AqpText"/>
      </w:pPr>
      <w:r>
        <w:t xml:space="preserve">U stávající šachty ID 7223, která má půdorysné rozměry 1,8 x 1,0 m, bude v monolitickém dně vybourán otvor </w:t>
      </w:r>
      <w:r>
        <w:br/>
        <w:t xml:space="preserve">o průměru cca 1,4 m pro vsazení nového ŽB potrubí DN 1000. Dále bude vybourán stávající žlábek a podesty, které jsou tvořený betonem a kameninou. </w:t>
      </w:r>
    </w:p>
    <w:p w14:paraId="1B54630D" w14:textId="77777777" w:rsidR="008D7F48" w:rsidRPr="008B0FC3" w:rsidRDefault="008D7F48" w:rsidP="008D7F48">
      <w:pPr>
        <w:pStyle w:val="Nadpis2"/>
      </w:pPr>
      <w:bookmarkStart w:id="50" w:name="_Toc53736224"/>
      <w:r w:rsidRPr="008B0FC3">
        <w:t>Zvláštní požadavky na postup stavebních prací</w:t>
      </w:r>
      <w:bookmarkEnd w:id="50"/>
    </w:p>
    <w:p w14:paraId="0F68A631" w14:textId="77777777" w:rsidR="005E63BB" w:rsidRPr="008B0FC3" w:rsidRDefault="005E63BB" w:rsidP="008D7F48">
      <w:pPr>
        <w:pStyle w:val="AqpText"/>
        <w:numPr>
          <w:ilvl w:val="0"/>
          <w:numId w:val="15"/>
        </w:numPr>
      </w:pPr>
      <w:r w:rsidRPr="008B0FC3">
        <w:t xml:space="preserve">Výstavbu stok realizovat </w:t>
      </w:r>
      <w:r w:rsidR="00A24F12" w:rsidRPr="008B0FC3">
        <w:t>dle popisu v kapitole 3.1</w:t>
      </w:r>
      <w:r w:rsidR="002A1B39" w:rsidRPr="008B0FC3">
        <w:t>.</w:t>
      </w:r>
    </w:p>
    <w:p w14:paraId="3CBC6FAE" w14:textId="77777777" w:rsidR="008D7F48" w:rsidRPr="008B0FC3" w:rsidRDefault="008D7F48" w:rsidP="008D7F48">
      <w:pPr>
        <w:pStyle w:val="AqpText"/>
        <w:numPr>
          <w:ilvl w:val="0"/>
          <w:numId w:val="15"/>
        </w:numPr>
      </w:pPr>
      <w:r w:rsidRPr="008B0FC3">
        <w:t>Při realizaci předepsáno použití laserového zaměřovače. Tento požadavek je nutno bezpodmínečně dodržet.</w:t>
      </w:r>
      <w:r w:rsidR="005E63BB" w:rsidRPr="008B0FC3">
        <w:t xml:space="preserve"> Budou prováděny každodenní kontroly nivelety dokončeného úseku. V případě zjištění diference větší než 3 cm bude ihned informován projektant a ve stavbě nebude pokračováno do doby</w:t>
      </w:r>
      <w:r w:rsidR="002A1B39" w:rsidRPr="008B0FC3">
        <w:t>,</w:t>
      </w:r>
      <w:r w:rsidR="005E63BB" w:rsidRPr="008B0FC3">
        <w:t xml:space="preserve"> než bude rozhodnuto</w:t>
      </w:r>
      <w:r w:rsidR="002A1B39" w:rsidRPr="008B0FC3">
        <w:t>,</w:t>
      </w:r>
      <w:r w:rsidR="005E63BB" w:rsidRPr="008B0FC3">
        <w:t xml:space="preserve"> jak postupovat dále.</w:t>
      </w:r>
    </w:p>
    <w:p w14:paraId="241543CC" w14:textId="77777777" w:rsidR="008D7F48" w:rsidRPr="008B0FC3" w:rsidRDefault="008D7F48" w:rsidP="008D7F48">
      <w:pPr>
        <w:pStyle w:val="AqpText"/>
        <w:numPr>
          <w:ilvl w:val="0"/>
          <w:numId w:val="15"/>
        </w:numPr>
      </w:pPr>
      <w:r w:rsidRPr="008B0FC3">
        <w:lastRenderedPageBreak/>
        <w:t>Před zahájením stavby je nutno zkontrolovat výškové poměry ve všech nápojných bodech. Případné nesrovnalosti ihned oznámit investorovi a projektantovi a bez vyjasnění výškových poměrů vůbec nezahajovat stavbu.</w:t>
      </w:r>
    </w:p>
    <w:p w14:paraId="5ED6BDED" w14:textId="77777777" w:rsidR="008D7F48" w:rsidRPr="008B0FC3" w:rsidRDefault="008D7F48" w:rsidP="008D7F48">
      <w:pPr>
        <w:pStyle w:val="AqpText"/>
        <w:numPr>
          <w:ilvl w:val="0"/>
          <w:numId w:val="15"/>
        </w:numPr>
      </w:pPr>
      <w:r w:rsidRPr="008B0FC3">
        <w:t>Rovněž případné nesrovnalosti mezi hodnotami kót terénu udávanými v PD a skutečností na stavbě je nutno obratem konzultovat s investorem a projektantem. Zde se však předpokládá, že zhotovitel je firma natolik odborně zdatná, že si dokáže zajistit uvedení terénu do nově navrženého stavu (výškově) bez nutnosti nějakého zvláštního dohledu ze strany projektanta a investora.</w:t>
      </w:r>
    </w:p>
    <w:p w14:paraId="6F411E9D" w14:textId="77777777" w:rsidR="008D7F48" w:rsidRPr="008B0FC3" w:rsidRDefault="008D7F48" w:rsidP="00066A25">
      <w:pPr>
        <w:pStyle w:val="Nadpis2"/>
      </w:pPr>
      <w:bookmarkStart w:id="51" w:name="_Toc53736225"/>
      <w:r w:rsidRPr="008B0FC3">
        <w:t>B</w:t>
      </w:r>
      <w:r w:rsidR="00066A25" w:rsidRPr="008B0FC3">
        <w:t>ezpečnost a ochrana zdraví při práci</w:t>
      </w:r>
      <w:bookmarkEnd w:id="51"/>
    </w:p>
    <w:p w14:paraId="30404DFE" w14:textId="77777777" w:rsidR="008D7F48" w:rsidRPr="008B0FC3" w:rsidRDefault="008D7F48" w:rsidP="008D7F48">
      <w:pPr>
        <w:pStyle w:val="AqpText"/>
      </w:pPr>
      <w:r w:rsidRPr="008B0FC3">
        <w:t>Všichni pracovníci musí být proškoleni a přezkoušeni ze znalosti BOZ. Za dodržení a zejména kontrolu jsou odpovědni všichni vedoucí pracovníci na všech stupních řízení.</w:t>
      </w:r>
    </w:p>
    <w:p w14:paraId="2DFCE4EA" w14:textId="77777777" w:rsidR="007339A0" w:rsidRPr="008B0FC3" w:rsidRDefault="008D7F48" w:rsidP="008D7F48">
      <w:pPr>
        <w:pStyle w:val="AqpText"/>
      </w:pPr>
      <w:r w:rsidRPr="008B0FC3">
        <w:t xml:space="preserve">Při přípravě i vlastních stavebních pracích je nutno dodržovat platné ČSN, zákon č. 309/2006 a nařízení vlády </w:t>
      </w:r>
      <w:r w:rsidR="00422916" w:rsidRPr="008B0FC3">
        <w:br/>
      </w:r>
      <w:r w:rsidRPr="008B0FC3">
        <w:t>č. 591/2006.</w:t>
      </w:r>
      <w:r w:rsidR="00066A25" w:rsidRPr="008B0FC3">
        <w:t xml:space="preserve"> Podrobněji v části dokumentace F </w:t>
      </w:r>
      <w:r w:rsidR="002A1B39" w:rsidRPr="008B0FC3">
        <w:t>–</w:t>
      </w:r>
      <w:r w:rsidR="00066A25" w:rsidRPr="008B0FC3">
        <w:t xml:space="preserve"> Zásady organizace výstavby.</w:t>
      </w:r>
    </w:p>
    <w:p w14:paraId="59E69E1A" w14:textId="77777777" w:rsidR="00066A25" w:rsidRPr="008B0FC3" w:rsidRDefault="00066A25" w:rsidP="008D7F48">
      <w:pPr>
        <w:pStyle w:val="AqpText"/>
      </w:pPr>
    </w:p>
    <w:p w14:paraId="7F4C3504" w14:textId="77777777" w:rsidR="00066A25" w:rsidRPr="008B0FC3" w:rsidRDefault="00066A25" w:rsidP="00066A25">
      <w:pPr>
        <w:pStyle w:val="Nadpis1"/>
      </w:pPr>
      <w:bookmarkStart w:id="52" w:name="_Toc53736226"/>
      <w:r w:rsidRPr="008B0FC3">
        <w:t>Věcné a časové vazby</w:t>
      </w:r>
      <w:bookmarkEnd w:id="52"/>
    </w:p>
    <w:p w14:paraId="299AD809" w14:textId="77777777" w:rsidR="00066A25" w:rsidRPr="008B0FC3" w:rsidRDefault="00066A25" w:rsidP="00066A25">
      <w:pPr>
        <w:pStyle w:val="Nadpis2"/>
      </w:pPr>
      <w:bookmarkStart w:id="53" w:name="_Toc53736227"/>
      <w:r w:rsidRPr="008B0FC3">
        <w:t>Přeložky podzemních sítí</w:t>
      </w:r>
      <w:bookmarkEnd w:id="53"/>
    </w:p>
    <w:p w14:paraId="345E953B" w14:textId="77777777" w:rsidR="001C43B8" w:rsidRPr="008B0FC3" w:rsidRDefault="001C43B8" w:rsidP="00066A25">
      <w:pPr>
        <w:pStyle w:val="AqpText"/>
      </w:pPr>
      <w:r w:rsidRPr="008B0FC3">
        <w:t xml:space="preserve">Návrh trasy rekonstrukce vycházel ze stávajícího stavu a byl veden snahou o minimalizaci zásahů do stávajících tras podzemních inženýrských sítí. Pokud by se během stavby zjistily významné odchylky průběhů IS, bude nutno provést posouzení nutnosti jejich přeložek. Po zahájení stavby a přesném vytýčení podzemních sítí přímo v terénu bude </w:t>
      </w:r>
      <w:r w:rsidR="00377BB2" w:rsidRPr="008B0FC3">
        <w:br/>
      </w:r>
      <w:r w:rsidRPr="008B0FC3">
        <w:t>v součinnosti se zhotovitelem stavby a TDI v nutných případech řešena tato problematika přímo na stavbě.</w:t>
      </w:r>
    </w:p>
    <w:p w14:paraId="2B8FC89C" w14:textId="77777777" w:rsidR="00066A25" w:rsidRPr="008B0FC3" w:rsidRDefault="00066A25" w:rsidP="001C43B8">
      <w:pPr>
        <w:pStyle w:val="Nadpis2"/>
      </w:pPr>
      <w:bookmarkStart w:id="54" w:name="_Toc53736228"/>
      <w:r w:rsidRPr="008B0FC3">
        <w:t>D</w:t>
      </w:r>
      <w:r w:rsidR="001C43B8" w:rsidRPr="008B0FC3">
        <w:t>opravní omezení</w:t>
      </w:r>
      <w:bookmarkEnd w:id="54"/>
    </w:p>
    <w:p w14:paraId="460FC9C9" w14:textId="5D05855A" w:rsidR="002F3927" w:rsidRPr="008B0FC3" w:rsidRDefault="00377F94" w:rsidP="002F3927">
      <w:pPr>
        <w:pStyle w:val="AqpText"/>
      </w:pPr>
      <w:r w:rsidRPr="008B0FC3">
        <w:t>Během výstavby bude nutné uzavřít ulice Stránského dle etap výstavby</w:t>
      </w:r>
      <w:r w:rsidR="002F3927" w:rsidRPr="008B0FC3">
        <w:t>. V souvislosti s postupem stavebních prací bude prováděno osazování dopravního značení. Návrh dopravního značení je samostatnou součástí této PD.</w:t>
      </w:r>
    </w:p>
    <w:p w14:paraId="66BCF7F0" w14:textId="77777777" w:rsidR="00A00E1D" w:rsidRPr="008B0FC3" w:rsidRDefault="00A00E1D" w:rsidP="00A00E1D">
      <w:pPr>
        <w:pStyle w:val="AqpText"/>
      </w:pPr>
      <w:r w:rsidRPr="008B0FC3">
        <w:t>Po celou dobu stavby musí být zajištěna možnost příjezdu pro hasičský záchranný sbor a pro zdravotní službu.</w:t>
      </w:r>
    </w:p>
    <w:p w14:paraId="7A809CCF" w14:textId="77777777" w:rsidR="005E63BB" w:rsidRPr="008B0FC3" w:rsidRDefault="00066A25" w:rsidP="005E63BB">
      <w:pPr>
        <w:pStyle w:val="Nadpis2"/>
      </w:pPr>
      <w:bookmarkStart w:id="55" w:name="_Toc53736229"/>
      <w:r w:rsidRPr="008B0FC3">
        <w:t>V</w:t>
      </w:r>
      <w:r w:rsidR="005E63BB" w:rsidRPr="008B0FC3">
        <w:t>šeobecně</w:t>
      </w:r>
      <w:bookmarkEnd w:id="55"/>
    </w:p>
    <w:p w14:paraId="66696B25" w14:textId="77777777" w:rsidR="00377F94" w:rsidRPr="008B0FC3" w:rsidRDefault="00377F94" w:rsidP="00377F94">
      <w:pPr>
        <w:pStyle w:val="AqpText"/>
      </w:pPr>
      <w:r w:rsidRPr="008B0FC3">
        <w:t>Provádění stavby nutno koordinovat s dalšími případnými plánovanými opravami a rekonstrukcemi ostatních inženýrských sítí v předmětné lokalitě:</w:t>
      </w:r>
    </w:p>
    <w:p w14:paraId="7540568F" w14:textId="77777777" w:rsidR="00377F94" w:rsidRPr="008B0FC3" w:rsidRDefault="00377F94" w:rsidP="00377F94">
      <w:pPr>
        <w:pStyle w:val="AqpText"/>
        <w:numPr>
          <w:ilvl w:val="0"/>
          <w:numId w:val="37"/>
        </w:numPr>
      </w:pPr>
      <w:r w:rsidRPr="008B0FC3">
        <w:t>Rekonstrukce vodovodu a vodovodních přípojek.</w:t>
      </w:r>
    </w:p>
    <w:p w14:paraId="4045B046" w14:textId="77777777" w:rsidR="00377F94" w:rsidRPr="008B0FC3" w:rsidRDefault="00377F94" w:rsidP="00377F94">
      <w:pPr>
        <w:pStyle w:val="AqpText"/>
        <w:numPr>
          <w:ilvl w:val="0"/>
          <w:numId w:val="37"/>
        </w:numPr>
      </w:pPr>
      <w:r w:rsidRPr="008B0FC3">
        <w:t>Rekonstrukce VO (Technické sítě Brno, a.s.).</w:t>
      </w:r>
    </w:p>
    <w:p w14:paraId="4C883EE0" w14:textId="77777777" w:rsidR="00377F94" w:rsidRPr="008B0FC3" w:rsidRDefault="00377F94" w:rsidP="00377F94">
      <w:pPr>
        <w:pStyle w:val="AqpText"/>
        <w:numPr>
          <w:ilvl w:val="0"/>
          <w:numId w:val="37"/>
        </w:numPr>
      </w:pPr>
      <w:r w:rsidRPr="008B0FC3">
        <w:t>Brno, Haasova – rekonstrukce kanalizace a vodovodu.</w:t>
      </w:r>
    </w:p>
    <w:p w14:paraId="21E1023A" w14:textId="77777777" w:rsidR="00377F94" w:rsidRPr="008B0FC3" w:rsidRDefault="00377F94" w:rsidP="00377F94">
      <w:pPr>
        <w:pStyle w:val="AqpText"/>
      </w:pPr>
      <w:r w:rsidRPr="008B0FC3">
        <w:t>Dále je nutno v předstihu upozornit občany na to, že nebudou po určitou dobu moci zajíždět se svými vozidly až k místu bydliště.</w:t>
      </w:r>
    </w:p>
    <w:p w14:paraId="72B5A791" w14:textId="77777777" w:rsidR="00066A25" w:rsidRPr="008B0FC3" w:rsidRDefault="00066A25" w:rsidP="00424CB1">
      <w:pPr>
        <w:pStyle w:val="Nadpis2"/>
      </w:pPr>
      <w:bookmarkStart w:id="56" w:name="_Toc53736230"/>
      <w:r w:rsidRPr="008B0FC3">
        <w:lastRenderedPageBreak/>
        <w:t>P</w:t>
      </w:r>
      <w:r w:rsidR="00424CB1" w:rsidRPr="008B0FC3">
        <w:t>říprava pro výstavbu</w:t>
      </w:r>
      <w:bookmarkEnd w:id="56"/>
    </w:p>
    <w:p w14:paraId="3DEA5B5A" w14:textId="77777777" w:rsidR="00066A25" w:rsidRPr="008B0FC3" w:rsidRDefault="00066A25" w:rsidP="00066A25">
      <w:pPr>
        <w:pStyle w:val="AqpText"/>
      </w:pPr>
      <w:r w:rsidRPr="008B0FC3">
        <w:t>Staveniště se v celém rozsahu nachází na veřejných pozemcích (vozovka a chodníky). Soukromé pozemky nejsou stavbou kanalizace a přípojek dotčeny.</w:t>
      </w:r>
    </w:p>
    <w:p w14:paraId="62BF5CB1" w14:textId="77777777" w:rsidR="00066A25" w:rsidRPr="008B0FC3" w:rsidRDefault="00066A25" w:rsidP="00066A25">
      <w:pPr>
        <w:pStyle w:val="AqpText"/>
      </w:pPr>
      <w:r w:rsidRPr="008B0FC3">
        <w:t>Přípravné práce budou spočívat pouze v řádném předání staveniště, ve vytýčení a vyznačení podzemních sítí. V rámci přípravných prací je nutno osadit staveniště a jeho bezprostřední okolí příslušnými dopravními značkami (projekt značení je doložen jako samostatná příloha této PD). Po zahájení zemních prací je dále nutno zabezpečit staveniště tak, aby nemohlo dojít k pádu osoby nebo vozidla do výkopu.</w:t>
      </w:r>
    </w:p>
    <w:p w14:paraId="6253D9B3" w14:textId="77777777" w:rsidR="00424CB1" w:rsidRPr="008B0FC3" w:rsidRDefault="00424CB1" w:rsidP="00066A25">
      <w:pPr>
        <w:pStyle w:val="AqpText"/>
      </w:pPr>
    </w:p>
    <w:p w14:paraId="45D39B58" w14:textId="77777777" w:rsidR="00424CB1" w:rsidRPr="008B0FC3" w:rsidRDefault="00424CB1" w:rsidP="00424CB1">
      <w:pPr>
        <w:pStyle w:val="Nadpis1"/>
      </w:pPr>
      <w:bookmarkStart w:id="57" w:name="_Toc53736231"/>
      <w:r w:rsidRPr="008B0FC3">
        <w:t>Úprava ploch, oplocení, veřejná zeleň</w:t>
      </w:r>
      <w:bookmarkEnd w:id="57"/>
    </w:p>
    <w:p w14:paraId="61FB4759" w14:textId="640686B7" w:rsidR="00424CB1" w:rsidRPr="008B0FC3" w:rsidRDefault="00424CB1" w:rsidP="00424CB1">
      <w:pPr>
        <w:pStyle w:val="AqpText"/>
      </w:pPr>
      <w:r w:rsidRPr="008B0FC3">
        <w:t xml:space="preserve">Zhotovitel stavby je povinen uvést všechny plochy dotčené stavbou do původního stavu. Toto platí pro případné zásahy do oplocení. V rámci stavby bude provedena kompletní </w:t>
      </w:r>
      <w:r w:rsidR="00FC131E" w:rsidRPr="008B0FC3">
        <w:t>obnova</w:t>
      </w:r>
      <w:r w:rsidRPr="008B0FC3">
        <w:t xml:space="preserve"> konstrukce vozovky </w:t>
      </w:r>
      <w:r w:rsidR="00D66AE9" w:rsidRPr="008B0FC3">
        <w:t xml:space="preserve">v polovině ulice </w:t>
      </w:r>
      <w:r w:rsidRPr="008B0FC3">
        <w:t xml:space="preserve">a částečná obnova chodníků (součást této PD </w:t>
      </w:r>
      <w:r w:rsidR="00D66AE9" w:rsidRPr="008B0FC3">
        <w:t>–</w:t>
      </w:r>
      <w:r w:rsidR="00377F94" w:rsidRPr="008B0FC3">
        <w:t xml:space="preserve"> D.5 SO 101 Komunikace ulice Stránského</w:t>
      </w:r>
      <w:r w:rsidRPr="008B0FC3">
        <w:t>)</w:t>
      </w:r>
      <w:r w:rsidR="00D66AE9" w:rsidRPr="008B0FC3">
        <w:t>.</w:t>
      </w:r>
    </w:p>
    <w:p w14:paraId="7FED0D00" w14:textId="77777777" w:rsidR="00424CB1" w:rsidRPr="008B0FC3" w:rsidRDefault="00424CB1" w:rsidP="00424CB1">
      <w:pPr>
        <w:pStyle w:val="AqpText"/>
      </w:pPr>
    </w:p>
    <w:p w14:paraId="4418B9E0" w14:textId="77777777" w:rsidR="00424CB1" w:rsidRPr="008B0FC3" w:rsidRDefault="00424CB1" w:rsidP="00424CB1">
      <w:pPr>
        <w:pStyle w:val="Nadpis1"/>
      </w:pPr>
      <w:bookmarkStart w:id="58" w:name="_Toc53736232"/>
      <w:r w:rsidRPr="008B0FC3">
        <w:t>Ochrana a péče o životní prostředí</w:t>
      </w:r>
      <w:bookmarkEnd w:id="58"/>
    </w:p>
    <w:p w14:paraId="039FB067" w14:textId="77777777" w:rsidR="00424CB1" w:rsidRPr="008B0FC3" w:rsidRDefault="00424CB1" w:rsidP="00424CB1">
      <w:pPr>
        <w:pStyle w:val="Nadpis2"/>
      </w:pPr>
      <w:bookmarkStart w:id="59" w:name="_Toc53736233"/>
      <w:r w:rsidRPr="008B0FC3">
        <w:t>Vliv stavby na okolní prostředí</w:t>
      </w:r>
      <w:bookmarkEnd w:id="59"/>
    </w:p>
    <w:p w14:paraId="203F13B8" w14:textId="77777777" w:rsidR="00424CB1" w:rsidRPr="008B0FC3" w:rsidRDefault="00424CB1" w:rsidP="00424CB1">
      <w:pPr>
        <w:pStyle w:val="AqpText"/>
      </w:pPr>
      <w:r w:rsidRPr="008B0FC3">
        <w:t>Kanalizace je stavba umožňující především spolehlivé a bezpečné odvedení splašků vyprodukovaných v napojených objektech. Tímto svým posláním se jedná o stavbu vodohospodářského charakteru s nejvyšším stupněm ekologické důležitosti.</w:t>
      </w:r>
    </w:p>
    <w:p w14:paraId="2EE44B71" w14:textId="77777777" w:rsidR="00424CB1" w:rsidRPr="008B0FC3" w:rsidRDefault="00424CB1" w:rsidP="00424CB1">
      <w:pPr>
        <w:pStyle w:val="AqpText"/>
      </w:pPr>
      <w:r w:rsidRPr="008B0FC3">
        <w:t xml:space="preserve">Během stavby dojde pochopitelně v důsledku stavební činnosti dodavatele stavby k dočasnému zvýšení prašnosti </w:t>
      </w:r>
      <w:r w:rsidR="00F86803" w:rsidRPr="008B0FC3">
        <w:br/>
      </w:r>
      <w:r w:rsidRPr="008B0FC3">
        <w:t>a hlučnosti v předmětné lokalitě. Tento negativní průvodní jev nelze nikdy zcela vyloučit. Stavební dodavatel musí ovšem učinit všechna opatření, aby se tyto negativní jevy minimalizovaly a nedocházelo k nadměrnému obtěžování občanů bydlících v přilehlých objektech.</w:t>
      </w:r>
    </w:p>
    <w:p w14:paraId="072F007A" w14:textId="1B462ED7" w:rsidR="00424CB1" w:rsidRPr="008B0FC3" w:rsidRDefault="00424CB1" w:rsidP="00424CB1">
      <w:pPr>
        <w:pStyle w:val="AqpText"/>
      </w:pPr>
      <w:r w:rsidRPr="008B0FC3">
        <w:t>Při výstavbě bude dbáno na dodržování předpisů jak bezpečnostních</w:t>
      </w:r>
      <w:r w:rsidR="00377F94" w:rsidRPr="008B0FC3">
        <w:t>,</w:t>
      </w:r>
      <w:r w:rsidRPr="008B0FC3">
        <w:t xml:space="preserve"> tak i provozních, hlavně při manipulaci </w:t>
      </w:r>
      <w:r w:rsidR="00F86803" w:rsidRPr="008B0FC3">
        <w:br/>
      </w:r>
      <w:r w:rsidRPr="008B0FC3">
        <w:t>s pohonnými hmotami.</w:t>
      </w:r>
    </w:p>
    <w:p w14:paraId="3131F44E" w14:textId="77777777" w:rsidR="00424CB1" w:rsidRPr="008B0FC3" w:rsidRDefault="00424CB1" w:rsidP="00424CB1">
      <w:pPr>
        <w:pStyle w:val="AqpText"/>
      </w:pPr>
      <w:r w:rsidRPr="008B0FC3">
        <w:t xml:space="preserve">Z hlediska bezproblémové funkce kanalizace v budoucím provozu je nutné vybudovat kanalizaci dokonale vodotěsnou. Dodavatel stavby je povinen zajistit provedení zkoušek vodotěsnosti všech úseků stokové sítě a předložit doklady </w:t>
      </w:r>
      <w:r w:rsidR="00F86803" w:rsidRPr="008B0FC3">
        <w:br/>
      </w:r>
      <w:r w:rsidRPr="008B0FC3">
        <w:t>o jejich úspěšném provedení.</w:t>
      </w:r>
    </w:p>
    <w:p w14:paraId="64761FB6" w14:textId="77777777" w:rsidR="00424CB1" w:rsidRPr="008B0FC3" w:rsidRDefault="00424CB1" w:rsidP="00424CB1">
      <w:pPr>
        <w:pStyle w:val="Nadpis2"/>
      </w:pPr>
      <w:bookmarkStart w:id="60" w:name="_Toc53736234"/>
      <w:r w:rsidRPr="008B0FC3">
        <w:t>Protipožární zabezpečení stavby</w:t>
      </w:r>
      <w:bookmarkEnd w:id="60"/>
    </w:p>
    <w:p w14:paraId="22AB7EFB" w14:textId="77777777" w:rsidR="00424CB1" w:rsidRPr="008B0FC3" w:rsidRDefault="00424CB1" w:rsidP="00424CB1">
      <w:pPr>
        <w:pStyle w:val="AqpText"/>
      </w:pPr>
      <w:r w:rsidRPr="008B0FC3">
        <w:t>Není nutné, stavba kanalizace je bez požárního rizika.</w:t>
      </w:r>
    </w:p>
    <w:p w14:paraId="2833324F" w14:textId="04D83E7D" w:rsidR="00424CB1" w:rsidRPr="008B0FC3" w:rsidRDefault="00424CB1" w:rsidP="00424CB1">
      <w:pPr>
        <w:pStyle w:val="AqpText"/>
      </w:pPr>
      <w:r w:rsidRPr="008B0FC3">
        <w:t>Nosné konstrukce všech objektů jsou vybudované z nehořlavých materiálů (železobeton, prostý beton, apod.). Průtokové médium, tj. splašková a dešťová voda, jsou rovněž nehořlavé.</w:t>
      </w:r>
    </w:p>
    <w:p w14:paraId="4F1DD358" w14:textId="77777777" w:rsidR="00424CB1" w:rsidRPr="008B0FC3" w:rsidRDefault="00424CB1" w:rsidP="00424CB1">
      <w:pPr>
        <w:pStyle w:val="Nadpis2"/>
      </w:pPr>
      <w:bookmarkStart w:id="61" w:name="_Toc53736235"/>
      <w:r w:rsidRPr="008B0FC3">
        <w:lastRenderedPageBreak/>
        <w:t>Řešení protikorozní ochrany</w:t>
      </w:r>
      <w:bookmarkEnd w:id="61"/>
    </w:p>
    <w:p w14:paraId="4641BE38" w14:textId="6B6EDEA3" w:rsidR="00424CB1" w:rsidRPr="008B0FC3" w:rsidRDefault="00424CB1" w:rsidP="00424CB1">
      <w:pPr>
        <w:pStyle w:val="AqpText"/>
      </w:pPr>
      <w:r w:rsidRPr="008B0FC3">
        <w:t>Materiál uliční stoky – čedič, beton – materiál odolný proti korozi</w:t>
      </w:r>
      <w:r w:rsidR="00AA4982" w:rsidRPr="008B0FC3">
        <w:t>.</w:t>
      </w:r>
    </w:p>
    <w:p w14:paraId="632B4FB8" w14:textId="77777777" w:rsidR="00424CB1" w:rsidRPr="008B0FC3" w:rsidRDefault="00424CB1" w:rsidP="00424CB1">
      <w:pPr>
        <w:pStyle w:val="AqpText"/>
      </w:pPr>
      <w:r w:rsidRPr="008B0FC3">
        <w:t>Poklopy na revizních šachtách – typ Brno (šedá litina) – odolné proti korozi</w:t>
      </w:r>
      <w:r w:rsidR="00AA4982" w:rsidRPr="008B0FC3">
        <w:t>.</w:t>
      </w:r>
    </w:p>
    <w:p w14:paraId="0F9E3CD5" w14:textId="77777777" w:rsidR="00424CB1" w:rsidRPr="008B0FC3" w:rsidRDefault="00424CB1" w:rsidP="00424CB1">
      <w:pPr>
        <w:pStyle w:val="AqpText"/>
      </w:pPr>
      <w:r w:rsidRPr="008B0FC3">
        <w:t>Stupadla – „KASI“ DIN 19555-A-ST, ocelové jádro s PE povlakem – odolné proti korozi</w:t>
      </w:r>
      <w:r w:rsidR="00AA4982" w:rsidRPr="008B0FC3">
        <w:t>.</w:t>
      </w:r>
    </w:p>
    <w:p w14:paraId="44907BF0" w14:textId="77777777" w:rsidR="00424CB1" w:rsidRPr="008B0FC3" w:rsidRDefault="00424CB1" w:rsidP="00292340">
      <w:pPr>
        <w:pStyle w:val="Nadpis2"/>
      </w:pPr>
      <w:bookmarkStart w:id="62" w:name="_Toc53736236"/>
      <w:r w:rsidRPr="008B0FC3">
        <w:t>Ú</w:t>
      </w:r>
      <w:r w:rsidR="00292340" w:rsidRPr="008B0FC3">
        <w:t>daje o recipientu</w:t>
      </w:r>
      <w:bookmarkEnd w:id="62"/>
    </w:p>
    <w:p w14:paraId="75EF87BE" w14:textId="77777777" w:rsidR="00424CB1" w:rsidRPr="008B0FC3" w:rsidRDefault="00424CB1" w:rsidP="00424CB1">
      <w:pPr>
        <w:pStyle w:val="AqpText"/>
      </w:pPr>
      <w:r w:rsidRPr="008B0FC3">
        <w:t>Předmětná kanalizace je součástí stokové sítě města Brna. Její poloha uvnitř města dovoluje konstatovat, že rekonstruovaná stoka neovlivňuje bezprostředně žádný recipient.</w:t>
      </w:r>
    </w:p>
    <w:p w14:paraId="013770E6" w14:textId="77777777" w:rsidR="00424CB1" w:rsidRPr="008B0FC3" w:rsidRDefault="00424CB1" w:rsidP="00292340">
      <w:pPr>
        <w:pStyle w:val="Nadpis2"/>
      </w:pPr>
      <w:bookmarkStart w:id="63" w:name="_Toc53736237"/>
      <w:r w:rsidRPr="008B0FC3">
        <w:t>S</w:t>
      </w:r>
      <w:r w:rsidR="00292340" w:rsidRPr="008B0FC3">
        <w:t>tanovení ochranných pásem</w:t>
      </w:r>
      <w:bookmarkEnd w:id="63"/>
    </w:p>
    <w:p w14:paraId="46F2D82F" w14:textId="77777777" w:rsidR="00424CB1" w:rsidRPr="008B0FC3" w:rsidRDefault="00424CB1" w:rsidP="00424CB1">
      <w:pPr>
        <w:pStyle w:val="AqpText"/>
      </w:pPr>
      <w:r w:rsidRPr="008B0FC3">
        <w:t>Budou stanovena v souladu s příslušnými normami.</w:t>
      </w:r>
    </w:p>
    <w:p w14:paraId="6D5C587E" w14:textId="77777777" w:rsidR="00292340" w:rsidRPr="008B0FC3" w:rsidRDefault="00292340" w:rsidP="00292340">
      <w:pPr>
        <w:pStyle w:val="AqpText"/>
      </w:pPr>
      <w:r w:rsidRPr="008B0FC3">
        <w:t>V souladu s § 23 odst. 3 zák. č. 274/2001 Sb. (Zákon o vodovodech a kanalizacích) jsou ochranná pásma vymezena vodorovnou vzdáleností od vnějšího líce stěny potrubí nebo kanalizační stoky na každou stranu</w:t>
      </w:r>
    </w:p>
    <w:p w14:paraId="0ABBC1C7" w14:textId="77777777" w:rsidR="00292340" w:rsidRPr="008B0FC3" w:rsidRDefault="006C0F1F" w:rsidP="00292340">
      <w:pPr>
        <w:pStyle w:val="AqpText"/>
        <w:numPr>
          <w:ilvl w:val="0"/>
          <w:numId w:val="17"/>
        </w:numPr>
      </w:pPr>
      <w:r w:rsidRPr="008B0FC3">
        <w:t>U</w:t>
      </w:r>
      <w:r w:rsidR="00292340" w:rsidRPr="008B0FC3">
        <w:t xml:space="preserve"> vodovodních řadů a kanalizačních stok do</w:t>
      </w:r>
      <w:r w:rsidRPr="008B0FC3">
        <w:t xml:space="preserve"> průměru 500 mm včetně, 1,5 m.</w:t>
      </w:r>
    </w:p>
    <w:p w14:paraId="6005A743" w14:textId="77777777" w:rsidR="00292340" w:rsidRPr="008B0FC3" w:rsidRDefault="006C0F1F" w:rsidP="00292340">
      <w:pPr>
        <w:pStyle w:val="AqpText"/>
        <w:numPr>
          <w:ilvl w:val="0"/>
          <w:numId w:val="17"/>
        </w:numPr>
      </w:pPr>
      <w:r w:rsidRPr="008B0FC3">
        <w:t>U</w:t>
      </w:r>
      <w:r w:rsidR="00292340" w:rsidRPr="008B0FC3">
        <w:t xml:space="preserve"> vodovodních řadů a kanalizačních stok nad průměr 500 mm, 2,5 m</w:t>
      </w:r>
      <w:r w:rsidRPr="008B0FC3">
        <w:t>.</w:t>
      </w:r>
    </w:p>
    <w:p w14:paraId="53EEA97A" w14:textId="77777777" w:rsidR="00292340" w:rsidRPr="008B0FC3" w:rsidRDefault="006C0F1F" w:rsidP="00292340">
      <w:pPr>
        <w:pStyle w:val="AqpText"/>
        <w:numPr>
          <w:ilvl w:val="0"/>
          <w:numId w:val="17"/>
        </w:numPr>
      </w:pPr>
      <w:r w:rsidRPr="008B0FC3">
        <w:t>U</w:t>
      </w:r>
      <w:r w:rsidR="00292340" w:rsidRPr="008B0FC3">
        <w:t xml:space="preserve"> vodovodních řadů nebo kanalizačních stok o průměru nad 200 mm, jejichž dno je uloženo v hloubce větší než 2,5 m pod upraveným povrchem, se vzdálenost od vnějšího líce zvyšují o 1,0 m.</w:t>
      </w:r>
    </w:p>
    <w:p w14:paraId="05E89BFE" w14:textId="77777777" w:rsidR="00292340" w:rsidRPr="008B0FC3" w:rsidRDefault="00292340" w:rsidP="00292340">
      <w:pPr>
        <w:pStyle w:val="AqpText"/>
      </w:pPr>
    </w:p>
    <w:p w14:paraId="47B51D9D" w14:textId="77777777" w:rsidR="00292340" w:rsidRPr="008B0FC3" w:rsidRDefault="00292340" w:rsidP="00292340">
      <w:pPr>
        <w:pStyle w:val="Nadpis1"/>
      </w:pPr>
      <w:bookmarkStart w:id="64" w:name="_Toc53736238"/>
      <w:r w:rsidRPr="008B0FC3">
        <w:t>Vytýčení stavby</w:t>
      </w:r>
      <w:bookmarkEnd w:id="64"/>
    </w:p>
    <w:p w14:paraId="0A3DEEAC" w14:textId="4903809C" w:rsidR="00292340" w:rsidRPr="008B0FC3" w:rsidRDefault="00DD02B2" w:rsidP="00292340">
      <w:pPr>
        <w:pStyle w:val="AqpText"/>
      </w:pPr>
      <w:r w:rsidRPr="008B0FC3">
        <w:t>Vytýčení kanalizace je doloženo v </w:t>
      </w:r>
      <w:r w:rsidR="00736C1C" w:rsidRPr="008B0FC3">
        <w:t>příloze</w:t>
      </w:r>
      <w:r w:rsidRPr="008B0FC3">
        <w:t xml:space="preserve"> D.1.3 – Vytyčovací prvky. </w:t>
      </w:r>
      <w:r w:rsidR="00292340" w:rsidRPr="008B0FC3">
        <w:t xml:space="preserve"> Jednotlivé revizní šachty jsou jednoznačně identifikovány vytyčovacími body (prefabrikované šachty středem šachty, atypické šachty středem a vnějšími rohy). Tyto body jsou uvedeny v tabulce s odpovídajícími souřadnicemi v S-JTSK.</w:t>
      </w:r>
    </w:p>
    <w:p w14:paraId="04F9FFC6" w14:textId="77777777" w:rsidR="00292340" w:rsidRPr="008B0FC3" w:rsidRDefault="00292340" w:rsidP="00292340">
      <w:pPr>
        <w:pStyle w:val="AqpText"/>
      </w:pPr>
    </w:p>
    <w:p w14:paraId="05D606C1" w14:textId="77777777" w:rsidR="00292340" w:rsidRPr="008B0FC3" w:rsidRDefault="00292340" w:rsidP="00292340">
      <w:pPr>
        <w:pStyle w:val="Nadpis1"/>
      </w:pPr>
      <w:bookmarkStart w:id="65" w:name="_Toc53736239"/>
      <w:r w:rsidRPr="008B0FC3">
        <w:t>Údaje o technologické části stavby</w:t>
      </w:r>
      <w:bookmarkEnd w:id="65"/>
    </w:p>
    <w:p w14:paraId="7ECDD9F3" w14:textId="77777777" w:rsidR="00292340" w:rsidRPr="008B0FC3" w:rsidRDefault="00292340" w:rsidP="00292340">
      <w:pPr>
        <w:pStyle w:val="AqpText"/>
      </w:pPr>
      <w:r w:rsidRPr="008B0FC3">
        <w:t>Stavba neobsahuje žádné technologie.</w:t>
      </w:r>
    </w:p>
    <w:p w14:paraId="403EB378" w14:textId="77777777" w:rsidR="00A945E7" w:rsidRPr="00A945E7" w:rsidRDefault="00A945E7" w:rsidP="00292340">
      <w:pPr>
        <w:pStyle w:val="AqpText"/>
      </w:pPr>
    </w:p>
    <w:p w14:paraId="4077C8E0" w14:textId="77777777" w:rsidR="004E5F8D" w:rsidRPr="008B0FC3" w:rsidRDefault="004E5F8D" w:rsidP="004E5F8D">
      <w:pPr>
        <w:pStyle w:val="Nadpis1"/>
      </w:pPr>
      <w:bookmarkStart w:id="66" w:name="_Toc53736240"/>
      <w:r w:rsidRPr="008B0FC3">
        <w:t>Zemní práce</w:t>
      </w:r>
      <w:bookmarkEnd w:id="66"/>
    </w:p>
    <w:p w14:paraId="4E6221C0" w14:textId="77777777" w:rsidR="006D7709" w:rsidRPr="008B0FC3" w:rsidRDefault="006D7709" w:rsidP="006D7709">
      <w:pPr>
        <w:pStyle w:val="AqpText"/>
      </w:pPr>
      <w:r w:rsidRPr="008B0FC3">
        <w:t>Před prováděním výkopů zajistí zhotovitel v prostoru staveniště vytyčení veškerých podzemních sítí jejich správci. Při provádění výkopů v blízkosti podzemního vedení, nebo při jejich křížení bude postupováno podle podmínek stanovených správcem uvedeného podzemního vedení a výkopy budou prováděny ručně. Výkopové práce v okolí stávajících sloupů budou prováděny tak, aby nebyla narušena stabilita sloupů a uzemňovací soupravy.</w:t>
      </w:r>
    </w:p>
    <w:p w14:paraId="25B59D91" w14:textId="77777777" w:rsidR="006D7709" w:rsidRPr="008B0FC3" w:rsidRDefault="006D7709" w:rsidP="006D7709">
      <w:pPr>
        <w:pStyle w:val="AqpText"/>
      </w:pPr>
      <w:r w:rsidRPr="008B0FC3">
        <w:lastRenderedPageBreak/>
        <w:t xml:space="preserve">Stavební jámy a rýhy zhotovitel zabezpečí proti vnikání povrchových vod a zabezpečí jejich odvodnění. Součástí dodávky zhotovitele bude též zřízení a likvidace případných dočasných sjezdů z komunikací. </w:t>
      </w:r>
    </w:p>
    <w:p w14:paraId="1088C5E0" w14:textId="77777777" w:rsidR="00A134DE" w:rsidRPr="008B0FC3" w:rsidRDefault="00A134DE" w:rsidP="00A134DE">
      <w:pPr>
        <w:pStyle w:val="AqpText"/>
      </w:pPr>
      <w:bookmarkStart w:id="67" w:name="_Toc462062445"/>
      <w:r w:rsidRPr="008B0FC3">
        <w:t>Dle záměrů IGP se po odstranění asfaltu předpokládají výkopy dominantně v soudržných kvartérních zeminách (písčité hlíny, hlíny a jíly s nízkou až střední plasticitou).</w:t>
      </w:r>
    </w:p>
    <w:p w14:paraId="6A1BDBD8" w14:textId="77777777" w:rsidR="00A134DE" w:rsidRPr="008B0FC3" w:rsidRDefault="00A134DE" w:rsidP="00A134DE">
      <w:pPr>
        <w:pStyle w:val="AqpText"/>
      </w:pPr>
      <w:r w:rsidRPr="008B0FC3">
        <w:t>Zatřídění dle třídy těžitelnosti (ČSN 73 3050):</w:t>
      </w:r>
    </w:p>
    <w:p w14:paraId="49CDD385" w14:textId="77777777" w:rsidR="00A134DE" w:rsidRPr="008B0FC3" w:rsidRDefault="00A134DE" w:rsidP="00A134DE">
      <w:pPr>
        <w:pStyle w:val="AqpText"/>
        <w:numPr>
          <w:ilvl w:val="0"/>
          <w:numId w:val="23"/>
        </w:numPr>
      </w:pPr>
      <w:r w:rsidRPr="008B0FC3">
        <w:rPr>
          <w:b/>
        </w:rPr>
        <w:t>Třída 4</w:t>
      </w:r>
      <w:r w:rsidRPr="008B0FC3">
        <w:t xml:space="preserve"> – 35 % (navážka – zásypová zemina).</w:t>
      </w:r>
    </w:p>
    <w:p w14:paraId="78387E4A" w14:textId="77777777" w:rsidR="00A134DE" w:rsidRPr="008B0FC3" w:rsidRDefault="00A134DE" w:rsidP="00A134DE">
      <w:pPr>
        <w:pStyle w:val="AqpText"/>
        <w:numPr>
          <w:ilvl w:val="0"/>
          <w:numId w:val="23"/>
        </w:numPr>
      </w:pPr>
      <w:r w:rsidRPr="008B0FC3">
        <w:rPr>
          <w:b/>
        </w:rPr>
        <w:t>Třída 3</w:t>
      </w:r>
      <w:r w:rsidRPr="008B0FC3">
        <w:t xml:space="preserve"> – 25 % (sprašová hlína).</w:t>
      </w:r>
    </w:p>
    <w:p w14:paraId="2A51C915" w14:textId="77777777" w:rsidR="00A134DE" w:rsidRPr="008B0FC3" w:rsidRDefault="00A134DE" w:rsidP="00A134DE">
      <w:pPr>
        <w:pStyle w:val="AqpText"/>
        <w:numPr>
          <w:ilvl w:val="0"/>
          <w:numId w:val="23"/>
        </w:numPr>
      </w:pPr>
      <w:r w:rsidRPr="008B0FC3">
        <w:rPr>
          <w:b/>
        </w:rPr>
        <w:t>Třída 3</w:t>
      </w:r>
      <w:r w:rsidRPr="008B0FC3">
        <w:rPr>
          <w:bCs/>
        </w:rPr>
        <w:t xml:space="preserve"> – 25 % (náplavová jílovito-písčitá hlína).</w:t>
      </w:r>
    </w:p>
    <w:p w14:paraId="1E9BE932" w14:textId="77777777" w:rsidR="00A134DE" w:rsidRPr="008B0FC3" w:rsidRDefault="00A134DE" w:rsidP="00A134DE">
      <w:pPr>
        <w:pStyle w:val="AqpText"/>
        <w:numPr>
          <w:ilvl w:val="0"/>
          <w:numId w:val="23"/>
        </w:numPr>
      </w:pPr>
      <w:r w:rsidRPr="008B0FC3">
        <w:rPr>
          <w:b/>
        </w:rPr>
        <w:t>Třída 3</w:t>
      </w:r>
      <w:r w:rsidRPr="008B0FC3">
        <w:rPr>
          <w:bCs/>
        </w:rPr>
        <w:t xml:space="preserve"> – 15 % (náplavová jílovito-prachovitá hlína).</w:t>
      </w:r>
    </w:p>
    <w:p w14:paraId="5E4DF057" w14:textId="77777777" w:rsidR="00A134DE" w:rsidRPr="008B0FC3" w:rsidRDefault="00A134DE" w:rsidP="00A134DE">
      <w:pPr>
        <w:pStyle w:val="AqpText"/>
      </w:pPr>
      <w:r w:rsidRPr="008B0FC3">
        <w:t>Podzemní voda byla průzkumnými pracemi zastižena – naražená hladina v průměrné hloubce 5,0 m, ustálená hladina v průměrné hloubce 3,8 m. Základová spára výkopu se nachází nad ustálenou hladinou podzemní vody.</w:t>
      </w:r>
    </w:p>
    <w:p w14:paraId="584AC500" w14:textId="77777777" w:rsidR="006D7709" w:rsidRPr="008B0FC3" w:rsidRDefault="006D7709" w:rsidP="006D7709">
      <w:pPr>
        <w:pStyle w:val="Nadpis2"/>
      </w:pPr>
      <w:bookmarkStart w:id="68" w:name="_Toc53736241"/>
      <w:r w:rsidRPr="008B0FC3">
        <w:t>STÁVAJÍCÍ SKLADBY</w:t>
      </w:r>
      <w:bookmarkEnd w:id="67"/>
      <w:bookmarkEnd w:id="68"/>
    </w:p>
    <w:p w14:paraId="477466CB" w14:textId="77777777" w:rsidR="00267C66" w:rsidRPr="008B0FC3" w:rsidRDefault="00267C66" w:rsidP="00267C66">
      <w:pPr>
        <w:pStyle w:val="AqpText"/>
      </w:pPr>
      <w:r w:rsidRPr="008B0FC3">
        <w:t>Stávající konstrukce jsou dle geologického průzkumu – v úsecích zprůměrované tloušťky</w:t>
      </w:r>
    </w:p>
    <w:p w14:paraId="284C7735" w14:textId="77777777" w:rsidR="00A134DE" w:rsidRPr="008B0FC3" w:rsidRDefault="00A134DE" w:rsidP="00A134DE">
      <w:pPr>
        <w:pStyle w:val="AqpText"/>
        <w:rPr>
          <w:b/>
        </w:rPr>
      </w:pPr>
      <w:r w:rsidRPr="008B0FC3">
        <w:t>Vozovka – ulice Stránského:</w:t>
      </w:r>
    </w:p>
    <w:p w14:paraId="18860040" w14:textId="5CDB3BD7" w:rsidR="00A134DE" w:rsidRPr="008B0FC3" w:rsidRDefault="00A134DE" w:rsidP="00A134DE">
      <w:pPr>
        <w:pStyle w:val="AqpText"/>
        <w:rPr>
          <w:i/>
        </w:rPr>
      </w:pPr>
      <w:r w:rsidRPr="008B0FC3">
        <w:rPr>
          <w:i/>
        </w:rPr>
        <w:t>úsek stoky km 0.000-0.121</w:t>
      </w:r>
    </w:p>
    <w:p w14:paraId="67C4627A" w14:textId="77777777" w:rsidR="00A134DE" w:rsidRPr="008B0FC3" w:rsidRDefault="00A134DE" w:rsidP="00A134DE">
      <w:pPr>
        <w:pStyle w:val="AqpText"/>
        <w:numPr>
          <w:ilvl w:val="0"/>
          <w:numId w:val="24"/>
        </w:numPr>
      </w:pPr>
      <w:r w:rsidRPr="008B0FC3">
        <w:t>200 mm – Asfalt</w:t>
      </w:r>
    </w:p>
    <w:p w14:paraId="7402CA3E" w14:textId="77777777" w:rsidR="00A134DE" w:rsidRPr="008B0FC3" w:rsidRDefault="00A134DE" w:rsidP="00A134DE">
      <w:pPr>
        <w:pStyle w:val="AqpText"/>
        <w:numPr>
          <w:ilvl w:val="0"/>
          <w:numId w:val="24"/>
        </w:numPr>
      </w:pPr>
      <w:r w:rsidRPr="008B0FC3">
        <w:t>400 mm – Makadam + beton</w:t>
      </w:r>
    </w:p>
    <w:p w14:paraId="2A15AA41" w14:textId="77777777" w:rsidR="00A134DE" w:rsidRPr="008B0FC3" w:rsidRDefault="00A134DE" w:rsidP="00A134DE">
      <w:pPr>
        <w:pStyle w:val="AqpText"/>
        <w:numPr>
          <w:ilvl w:val="0"/>
          <w:numId w:val="24"/>
        </w:numPr>
      </w:pPr>
      <w:r w:rsidRPr="008B0FC3">
        <w:t>200 mm – Písek</w:t>
      </w:r>
    </w:p>
    <w:p w14:paraId="1C3151AA" w14:textId="620E8402" w:rsidR="00A134DE" w:rsidRPr="008B0FC3" w:rsidRDefault="00A134DE" w:rsidP="00A134DE">
      <w:pPr>
        <w:pStyle w:val="AqpText"/>
        <w:rPr>
          <w:i/>
          <w:szCs w:val="22"/>
        </w:rPr>
      </w:pPr>
      <w:r w:rsidRPr="008B0FC3">
        <w:rPr>
          <w:i/>
        </w:rPr>
        <w:t>úsek stoky km 0.121-0.220</w:t>
      </w:r>
    </w:p>
    <w:p w14:paraId="2B169644" w14:textId="77777777" w:rsidR="00A134DE" w:rsidRPr="008B0FC3" w:rsidRDefault="00A134DE" w:rsidP="00A134DE">
      <w:pPr>
        <w:pStyle w:val="AqpText"/>
        <w:numPr>
          <w:ilvl w:val="0"/>
          <w:numId w:val="25"/>
        </w:numPr>
      </w:pPr>
      <w:r w:rsidRPr="008B0FC3">
        <w:t>300 mm – Asfalt</w:t>
      </w:r>
    </w:p>
    <w:p w14:paraId="1C8F6853" w14:textId="77777777" w:rsidR="00A134DE" w:rsidRPr="008B0FC3" w:rsidRDefault="00A134DE" w:rsidP="00A134DE">
      <w:pPr>
        <w:pStyle w:val="AqpText"/>
        <w:numPr>
          <w:ilvl w:val="0"/>
          <w:numId w:val="25"/>
        </w:numPr>
      </w:pPr>
      <w:r w:rsidRPr="008B0FC3">
        <w:t>300 mm – Makadam + beton</w:t>
      </w:r>
    </w:p>
    <w:p w14:paraId="44A205C7" w14:textId="552841A4" w:rsidR="00A134DE" w:rsidRPr="008B0FC3" w:rsidRDefault="00A134DE" w:rsidP="00A134DE">
      <w:pPr>
        <w:pStyle w:val="AqpText"/>
        <w:rPr>
          <w:i/>
          <w:szCs w:val="22"/>
        </w:rPr>
      </w:pPr>
      <w:r w:rsidRPr="008B0FC3">
        <w:rPr>
          <w:i/>
        </w:rPr>
        <w:t>úsek stoky km 0.220-0.288</w:t>
      </w:r>
    </w:p>
    <w:p w14:paraId="16C48407" w14:textId="77777777" w:rsidR="00A134DE" w:rsidRPr="008B0FC3" w:rsidRDefault="00A134DE" w:rsidP="00A134DE">
      <w:pPr>
        <w:pStyle w:val="AqpText"/>
        <w:numPr>
          <w:ilvl w:val="0"/>
          <w:numId w:val="26"/>
        </w:numPr>
      </w:pPr>
      <w:r w:rsidRPr="008B0FC3">
        <w:t>200 mm – Asfalt</w:t>
      </w:r>
    </w:p>
    <w:p w14:paraId="64404A17" w14:textId="52354AC3" w:rsidR="00267C66" w:rsidRPr="008B0FC3" w:rsidRDefault="00A134DE" w:rsidP="00267C66">
      <w:pPr>
        <w:pStyle w:val="AqpText"/>
        <w:numPr>
          <w:ilvl w:val="0"/>
          <w:numId w:val="26"/>
        </w:numPr>
      </w:pPr>
      <w:r w:rsidRPr="008B0FC3">
        <w:t>500 mm – Makadam + beton</w:t>
      </w:r>
    </w:p>
    <w:p w14:paraId="11674A4C" w14:textId="77777777" w:rsidR="00267C66" w:rsidRPr="008B0FC3" w:rsidRDefault="00267C66" w:rsidP="00267C66">
      <w:pPr>
        <w:pStyle w:val="AqpText"/>
      </w:pPr>
      <w:r w:rsidRPr="008B0FC3">
        <w:t>Chodník – asfalt:</w:t>
      </w:r>
    </w:p>
    <w:p w14:paraId="4299F557" w14:textId="77777777" w:rsidR="00267C66" w:rsidRPr="008B0FC3" w:rsidRDefault="00267C66" w:rsidP="00267C66">
      <w:pPr>
        <w:pStyle w:val="AqpText"/>
        <w:numPr>
          <w:ilvl w:val="0"/>
          <w:numId w:val="32"/>
        </w:numPr>
      </w:pPr>
      <w:r w:rsidRPr="008B0FC3">
        <w:t>30 mm – Litý asfalt</w:t>
      </w:r>
    </w:p>
    <w:p w14:paraId="2765D922" w14:textId="77777777" w:rsidR="00267C66" w:rsidRPr="008B0FC3" w:rsidRDefault="00267C66" w:rsidP="00267C66">
      <w:pPr>
        <w:pStyle w:val="AqpText"/>
        <w:numPr>
          <w:ilvl w:val="0"/>
          <w:numId w:val="32"/>
        </w:numPr>
      </w:pPr>
      <w:r w:rsidRPr="008B0FC3">
        <w:t>150 mm – Asfaltobeton pro ložnou vrstvu</w:t>
      </w:r>
    </w:p>
    <w:p w14:paraId="1E029EE5" w14:textId="0E2E01B4" w:rsidR="00267C66" w:rsidRPr="008B0FC3" w:rsidRDefault="00267C66" w:rsidP="00267C66">
      <w:pPr>
        <w:pStyle w:val="AqpText"/>
        <w:numPr>
          <w:ilvl w:val="0"/>
          <w:numId w:val="32"/>
        </w:numPr>
      </w:pPr>
      <w:r w:rsidRPr="008B0FC3">
        <w:t>150 mm – Štěrkodrť</w:t>
      </w:r>
    </w:p>
    <w:p w14:paraId="65967335" w14:textId="77777777" w:rsidR="00267C66" w:rsidRPr="008B0FC3" w:rsidRDefault="00267C66" w:rsidP="00267C66">
      <w:pPr>
        <w:pStyle w:val="AqpText"/>
      </w:pPr>
      <w:r w:rsidRPr="008B0FC3">
        <w:t>Chodník – zámková dlažba, betonová dlažba:</w:t>
      </w:r>
    </w:p>
    <w:p w14:paraId="57CEA50C" w14:textId="77777777" w:rsidR="00267C66" w:rsidRPr="008B0FC3" w:rsidRDefault="00267C66" w:rsidP="00267C66">
      <w:pPr>
        <w:pStyle w:val="AqpText"/>
        <w:numPr>
          <w:ilvl w:val="0"/>
          <w:numId w:val="33"/>
        </w:numPr>
      </w:pPr>
      <w:r w:rsidRPr="008B0FC3">
        <w:t>60 mm – Zámková dlažba, betonová dlažba</w:t>
      </w:r>
    </w:p>
    <w:p w14:paraId="2D9EB3AC" w14:textId="77777777" w:rsidR="00267C66" w:rsidRPr="008B0FC3" w:rsidRDefault="00267C66" w:rsidP="00267C66">
      <w:pPr>
        <w:pStyle w:val="AqpText"/>
        <w:numPr>
          <w:ilvl w:val="0"/>
          <w:numId w:val="33"/>
        </w:numPr>
      </w:pPr>
      <w:r w:rsidRPr="008B0FC3">
        <w:t>40 mm – Kamenivo drcené</w:t>
      </w:r>
    </w:p>
    <w:p w14:paraId="3B8C195F" w14:textId="46E1D993" w:rsidR="00267C66" w:rsidRPr="008B0FC3" w:rsidRDefault="00267C66" w:rsidP="00267C66">
      <w:pPr>
        <w:pStyle w:val="AqpText"/>
        <w:numPr>
          <w:ilvl w:val="0"/>
          <w:numId w:val="33"/>
        </w:numPr>
      </w:pPr>
      <w:r w:rsidRPr="008B0FC3">
        <w:lastRenderedPageBreak/>
        <w:t>150 mm – Štěrkodrť</w:t>
      </w:r>
    </w:p>
    <w:p w14:paraId="08B614A7" w14:textId="77777777" w:rsidR="00267C66" w:rsidRPr="008B0FC3" w:rsidRDefault="00267C66" w:rsidP="00267C66">
      <w:pPr>
        <w:pStyle w:val="AqpText"/>
      </w:pPr>
      <w:r w:rsidRPr="008B0FC3">
        <w:t>Nezpevněný terén:</w:t>
      </w:r>
    </w:p>
    <w:p w14:paraId="4C42F48D" w14:textId="77777777" w:rsidR="00267C66" w:rsidRPr="008B0FC3" w:rsidRDefault="00267C66" w:rsidP="00267C66">
      <w:pPr>
        <w:pStyle w:val="AqpText"/>
        <w:numPr>
          <w:ilvl w:val="0"/>
          <w:numId w:val="34"/>
        </w:numPr>
      </w:pPr>
      <w:r w:rsidRPr="008B0FC3">
        <w:t>300 mm – Ornice</w:t>
      </w:r>
    </w:p>
    <w:p w14:paraId="3FACB3AB" w14:textId="77777777" w:rsidR="004E5F8D" w:rsidRPr="008B0FC3" w:rsidRDefault="004E5F8D" w:rsidP="004E5F8D">
      <w:pPr>
        <w:pStyle w:val="Nadpis2"/>
      </w:pPr>
      <w:bookmarkStart w:id="69" w:name="_Toc53736242"/>
      <w:r w:rsidRPr="008B0FC3">
        <w:t>Výkopy</w:t>
      </w:r>
      <w:bookmarkEnd w:id="69"/>
    </w:p>
    <w:p w14:paraId="5F7576EB" w14:textId="77777777" w:rsidR="004E5F8D" w:rsidRPr="008B0FC3" w:rsidRDefault="004E5F8D" w:rsidP="004E5F8D">
      <w:pPr>
        <w:pStyle w:val="AqpText"/>
      </w:pPr>
      <w:r w:rsidRPr="008B0FC3">
        <w:t>Výkopy zahrnují výkop rýhy, nebo jámy a zajištění výkopu pažením. Při výkopových pracích musí zhotovitel soustavně zajišťovat odvádění povrchových a podzemních vod tak, aby nedošlo ke znehodnocování těžené zeminy, snížení stability svahů a stěn podmáčením apod. Za stabilitu výkopu odpovídá zhotovitel.</w:t>
      </w:r>
    </w:p>
    <w:p w14:paraId="3860005F" w14:textId="77777777" w:rsidR="004E5F8D" w:rsidRPr="008B0FC3" w:rsidRDefault="004E5F8D" w:rsidP="004E5F8D">
      <w:pPr>
        <w:pStyle w:val="AqpText"/>
      </w:pPr>
      <w:r w:rsidRPr="008B0FC3">
        <w:t>Únosnost základové spáry musí zhotovitel ověřit. Pokud vlastnosti zemin/hornin v základové spáře nedosahují požadovaných parametrů, bude provedena</w:t>
      </w:r>
      <w:r w:rsidR="005676C1" w:rsidRPr="008B0FC3">
        <w:t xml:space="preserve"> vhodná úprava základové spáry.</w:t>
      </w:r>
    </w:p>
    <w:p w14:paraId="55FAFEAC" w14:textId="77777777" w:rsidR="008D0C3D" w:rsidRPr="008B0FC3" w:rsidRDefault="008D0C3D" w:rsidP="008D0C3D">
      <w:pPr>
        <w:pStyle w:val="Nadpis2"/>
      </w:pPr>
      <w:bookmarkStart w:id="70" w:name="_Toc53736243"/>
      <w:r w:rsidRPr="008B0FC3">
        <w:t>Pažení</w:t>
      </w:r>
      <w:r w:rsidR="001111BB" w:rsidRPr="008B0FC3">
        <w:t xml:space="preserve"> </w:t>
      </w:r>
      <w:r w:rsidR="001B27E1" w:rsidRPr="008B0FC3">
        <w:t>rýhy</w:t>
      </w:r>
      <w:bookmarkEnd w:id="70"/>
    </w:p>
    <w:p w14:paraId="1908F53D" w14:textId="77777777" w:rsidR="008D0C3D" w:rsidRPr="008B0FC3" w:rsidRDefault="008D0C3D" w:rsidP="008D0C3D">
      <w:pPr>
        <w:pStyle w:val="AqpText"/>
      </w:pPr>
      <w:r w:rsidRPr="008B0FC3">
        <w:t>Pažení stěn výkopů zajistí zhotovitel všude, kde je to nezbytné z hlediska bezpečnosti práce a stability stěn a okolí. Pažení musí zajistit bezpečnost práce pod stěnami výkopu, zabránit poklesu okolního území a zabránit ohrožení stability stávajících nebo budovaných sousedních objektů a inženýrských sítí. Vnitřní rozměry zapaženého prostoru musí poskytnout potřebný pracovní prostor pro provádění prací.</w:t>
      </w:r>
    </w:p>
    <w:p w14:paraId="07B4D618" w14:textId="77777777" w:rsidR="008D0C3D" w:rsidRPr="008B0FC3" w:rsidRDefault="008D0C3D" w:rsidP="008D0C3D">
      <w:pPr>
        <w:pStyle w:val="AqpText"/>
      </w:pPr>
      <w:r w:rsidRPr="008B0FC3">
        <w:t xml:space="preserve">Po ukončení prací bude pažení i jeho zajištění odstraněno. Odstranění se provede takovým způsobem, aby nedošlo </w:t>
      </w:r>
      <w:r w:rsidR="00282136" w:rsidRPr="008B0FC3">
        <w:br/>
      </w:r>
      <w:r w:rsidRPr="008B0FC3">
        <w:t>k poškození povrchu nebo části nové konstrukce nebo potrubí.</w:t>
      </w:r>
    </w:p>
    <w:p w14:paraId="3F85FB49" w14:textId="77777777" w:rsidR="00EB6D64" w:rsidRPr="008B0FC3" w:rsidRDefault="008D0C3D" w:rsidP="008D0C3D">
      <w:pPr>
        <w:pStyle w:val="AqpText"/>
      </w:pPr>
      <w:r w:rsidRPr="008B0FC3">
        <w:t xml:space="preserve">Z důvodu vymezeného koridoru pro vedení kanalizace, nutných hloubek jejího založení a s ohledem na trasy podzemních sítí technického vybavení se navrhují výkopové rýhy se svislými stěnami pažené </w:t>
      </w:r>
      <w:r w:rsidR="00EA0C05" w:rsidRPr="008B0FC3">
        <w:t>zátažným pažením</w:t>
      </w:r>
      <w:r w:rsidR="001111BB" w:rsidRPr="008B0FC3">
        <w:t>.</w:t>
      </w:r>
    </w:p>
    <w:p w14:paraId="1205EB93" w14:textId="77777777" w:rsidR="008D0C3D" w:rsidRPr="008B0FC3" w:rsidRDefault="008D0C3D" w:rsidP="008D0C3D">
      <w:pPr>
        <w:pStyle w:val="Nadpis2"/>
      </w:pPr>
      <w:bookmarkStart w:id="71" w:name="_Toc53736244"/>
      <w:r w:rsidRPr="008B0FC3">
        <w:t>Podsypy, obsypy a zásypy</w:t>
      </w:r>
      <w:bookmarkEnd w:id="71"/>
    </w:p>
    <w:p w14:paraId="082B27E5" w14:textId="77777777" w:rsidR="008D0C3D" w:rsidRPr="008B0FC3" w:rsidRDefault="008D0C3D" w:rsidP="008D0C3D">
      <w:pPr>
        <w:pStyle w:val="AqpText"/>
      </w:pPr>
      <w:r w:rsidRPr="008B0FC3">
        <w:t>Pro podsypy, obsypy a zásypy budou použity vhodné materiály a jejich zhutnění bude prováděno v předepsaných vrstvách podle použitého materiálu</w:t>
      </w:r>
      <w:r w:rsidR="00B45915" w:rsidRPr="008B0FC3">
        <w:t>.</w:t>
      </w:r>
      <w:r w:rsidRPr="008B0FC3">
        <w:t xml:space="preserve"> </w:t>
      </w:r>
      <w:r w:rsidR="00B45915" w:rsidRPr="008B0FC3">
        <w:t>V</w:t>
      </w:r>
      <w:r w:rsidRPr="008B0FC3">
        <w:t>še v souladu s platnými legislativními předpisy a normami (především ČSN 73 3050 Zemní práce, ČSN 73 6133 Navrhování a provádění zemního tělesa pozemních komunikací, ČSN 72 1015 Laboratorní stanovení zhutnitelnosti zemin, ČSN 72 1006 Kontrola zhutnění zemin a sypanin, a dalšími specializovanými normami) a předpisy výrobce potrubí.</w:t>
      </w:r>
    </w:p>
    <w:p w14:paraId="7AA62639" w14:textId="77777777" w:rsidR="008D0C3D" w:rsidRPr="008B0FC3" w:rsidRDefault="008D0C3D" w:rsidP="008D0C3D">
      <w:pPr>
        <w:pStyle w:val="AqpText"/>
      </w:pPr>
      <w:r w:rsidRPr="008B0FC3">
        <w:t>Při výkopech bude zhotovitel selektivně přistupovat k rozlišení zemin z hlediska možného využití pro zpětné podsypy, obsypy a zásypy. Zemina nevhodná se bude odvážet na trvalou dep</w:t>
      </w:r>
      <w:r w:rsidR="00B45915" w:rsidRPr="008B0FC3">
        <w:t>o</w:t>
      </w:r>
      <w:r w:rsidRPr="008B0FC3">
        <w:t>n</w:t>
      </w:r>
      <w:r w:rsidR="00B45915" w:rsidRPr="008B0FC3">
        <w:t>ii</w:t>
      </w:r>
      <w:r w:rsidRPr="008B0FC3">
        <w:t xml:space="preserve"> a bude zhotovitelem nahrazena jiným vhodným materiálem.</w:t>
      </w:r>
    </w:p>
    <w:p w14:paraId="53155516" w14:textId="77777777" w:rsidR="008D0C3D" w:rsidRPr="008B0FC3" w:rsidRDefault="008D0C3D" w:rsidP="008D0C3D">
      <w:pPr>
        <w:pStyle w:val="AqpText"/>
      </w:pPr>
      <w:r w:rsidRPr="008B0FC3">
        <w:t>Do podsypů, obsypů ani zásypů se nesmí ukládat zmrzlé nebo sněhem promočené soudržné zeminy. Podsypy, obsypy a zásypy se nesmí ukládat na zmrzlou zeminu.</w:t>
      </w:r>
    </w:p>
    <w:p w14:paraId="746E1AE9" w14:textId="77777777" w:rsidR="008D0C3D" w:rsidRPr="008B0FC3" w:rsidRDefault="008D0C3D" w:rsidP="008D0C3D">
      <w:pPr>
        <w:pStyle w:val="AqpText"/>
      </w:pPr>
      <w:r w:rsidRPr="008B0FC3">
        <w:t>V případě zastižení nevhodných zemin špatných geotechnických kvalit (např. neúnosné, st</w:t>
      </w:r>
      <w:r w:rsidR="002B05C6" w:rsidRPr="008B0FC3">
        <w:t>l</w:t>
      </w:r>
      <w:r w:rsidRPr="008B0FC3">
        <w:t>ačitelné zeminy) budou tyto ze základové spáry odstraněny a nahrazeny skeletovou vrstvou z hutněného štěrku. Tato vrstva bude uložená do výztužné tkané geotextílie z polypropylenových vláken 100% UV stabilizovaných o plošné hmotnosti minimálně 215 g/m</w:t>
      </w:r>
      <w:r w:rsidRPr="008B0FC3">
        <w:rPr>
          <w:vertAlign w:val="superscript"/>
        </w:rPr>
        <w:t>2</w:t>
      </w:r>
      <w:r w:rsidRPr="008B0FC3">
        <w:t xml:space="preserve">, pevnost v tahu 40 kN/m, mezní protažení 16% a vyztužená geomříží. Mocnost této vrstvy bude min. 40 cm. Tato vrstva bude </w:t>
      </w:r>
      <w:r w:rsidR="00ED2AB1" w:rsidRPr="008B0FC3">
        <w:t>v případě výskytu zvýšené</w:t>
      </w:r>
      <w:r w:rsidRPr="008B0FC3">
        <w:t xml:space="preserve"> hladin</w:t>
      </w:r>
      <w:r w:rsidR="00ED2AB1" w:rsidRPr="008B0FC3">
        <w:t>y</w:t>
      </w:r>
      <w:r w:rsidRPr="008B0FC3">
        <w:t xml:space="preserve"> podzemní vody zároveň sloužit jako plošný drén.</w:t>
      </w:r>
    </w:p>
    <w:p w14:paraId="3F0B4864" w14:textId="77777777" w:rsidR="008D0C3D" w:rsidRPr="008B0FC3" w:rsidRDefault="008D0C3D" w:rsidP="008D0C3D">
      <w:pPr>
        <w:pStyle w:val="AqpText"/>
      </w:pPr>
      <w:r w:rsidRPr="008B0FC3">
        <w:lastRenderedPageBreak/>
        <w:t xml:space="preserve">Výkopy rýh pro potrubí budou zasypávány v celé šířce po dokončení osazení potrubí a provedení příslušných zkoušek. </w:t>
      </w:r>
    </w:p>
    <w:p w14:paraId="2EE505F6" w14:textId="429A3562" w:rsidR="00EB6D64" w:rsidRPr="008B0FC3" w:rsidRDefault="008D0C3D" w:rsidP="008D0C3D">
      <w:pPr>
        <w:pStyle w:val="AqpText"/>
      </w:pPr>
      <w:r w:rsidRPr="008B0FC3">
        <w:t>Zpětný obsyp a zásyp se musí provádět současně po obou stranách potrubí, aby nedocházelo k nerovnoměrným tlakům. Hutnění v blízkosti potrubí se musí provádět takovým způsobem, aby nedošlo k vybočení nebo poškození potrubí atd. Bednění, pažení a jiné pomocné zařízení musí být před zpětným zásypem odstraněno nebo v průběhu hutnění postupně vytahováno, aby hutnění probíhalo proti rostlé zemině. Postupné vytahování pažení musí být prováděno tak, aby nedocházelo k dodatečnému vytahování pažnic z již zhutněného obsypu nebo z</w:t>
      </w:r>
      <w:r w:rsidR="001B6086" w:rsidRPr="008B0FC3">
        <w:t>ásypu a tím k jeho nakypřování.</w:t>
      </w:r>
    </w:p>
    <w:p w14:paraId="23227BD8" w14:textId="77777777" w:rsidR="00ED2AB1" w:rsidRPr="008B0FC3" w:rsidRDefault="00ED2AB1" w:rsidP="00ED2AB1">
      <w:pPr>
        <w:pStyle w:val="Nadpis3"/>
      </w:pPr>
      <w:bookmarkStart w:id="72" w:name="_Toc53736245"/>
      <w:r w:rsidRPr="008B0FC3">
        <w:t>Zásypy v nezpevněných plochách</w:t>
      </w:r>
      <w:bookmarkEnd w:id="72"/>
    </w:p>
    <w:p w14:paraId="7CF5E043" w14:textId="77777777" w:rsidR="00EB6D64" w:rsidRPr="008B0FC3" w:rsidRDefault="00ED2AB1" w:rsidP="00ED2AB1">
      <w:pPr>
        <w:pStyle w:val="AqpText"/>
      </w:pPr>
      <w:r w:rsidRPr="008B0FC3">
        <w:t xml:space="preserve">Zpětné zásypy na úroveň stávajícího terénu v nezpevněných plochách budou provedeny materiálem získaným při výkopových pracích. Zásypy budou hutněny po vrstvách odpovídajících použitému hutnícímu prostředku na stejnou míru jako okolní terén, aby nedocházelo k </w:t>
      </w:r>
      <w:r w:rsidR="001B6086" w:rsidRPr="008B0FC3">
        <w:t>následným poklesům zásypů.</w:t>
      </w:r>
    </w:p>
    <w:p w14:paraId="7FA95F86" w14:textId="77777777" w:rsidR="00ED2AB1" w:rsidRPr="008B0FC3" w:rsidRDefault="00ED2AB1" w:rsidP="00ED2AB1">
      <w:pPr>
        <w:pStyle w:val="Nadpis3"/>
      </w:pPr>
      <w:bookmarkStart w:id="73" w:name="_Toc53736246"/>
      <w:r w:rsidRPr="008B0FC3">
        <w:t>Zásypy v komunikacích</w:t>
      </w:r>
      <w:bookmarkEnd w:id="73"/>
    </w:p>
    <w:p w14:paraId="1FC29B2E" w14:textId="77777777" w:rsidR="00ED2AB1" w:rsidRPr="008B0FC3" w:rsidRDefault="00ED2AB1" w:rsidP="00ED2AB1">
      <w:pPr>
        <w:pStyle w:val="AqpText"/>
      </w:pPr>
      <w:r w:rsidRPr="008B0FC3">
        <w:t>Na zpětné zásypy v komunikacích a pojezdových plochách bude použitý pouze vhodný nesoudržný a nesedavý materiál podle „TP 146 Povolování a provádění výkopů a zásypů rýh pro inženýrské sítě ve</w:t>
      </w:r>
      <w:r w:rsidR="003B7C42" w:rsidRPr="008B0FC3">
        <w:t xml:space="preserve"> vozovkách pozemních komunikací“</w:t>
      </w:r>
      <w:r w:rsidRPr="008B0FC3">
        <w:t>. Hutnění zásypů pod komunikacemi, kontroly kvality, zkoušky a jejich četnost budou prováděny také podle požadavků TP 146. Stejné požadavky na zásypy platí i pro výkopy vedle komunikace do vzdálenosti 1,5 m od komunikace.</w:t>
      </w:r>
    </w:p>
    <w:p w14:paraId="07C80529" w14:textId="77777777" w:rsidR="00ED2AB1" w:rsidRPr="008B0FC3" w:rsidRDefault="00ED2AB1" w:rsidP="00ED2AB1">
      <w:pPr>
        <w:pStyle w:val="AqpText"/>
      </w:pPr>
      <w:r w:rsidRPr="008B0FC3">
        <w:t>Zásyp bude nesoudržným nesedavým m</w:t>
      </w:r>
      <w:r w:rsidR="00FD3387" w:rsidRPr="008B0FC3">
        <w:t xml:space="preserve">ateriálem (štěrkopísek, štěrk) až po úroveň pláně. Pro zásypy konstrukci vozovky </w:t>
      </w:r>
      <w:r w:rsidR="007D3B17" w:rsidRPr="008B0FC3">
        <w:t>bude použit asfaltový recyklát.</w:t>
      </w:r>
    </w:p>
    <w:p w14:paraId="1F7ABA62" w14:textId="77777777" w:rsidR="006A0A99" w:rsidRPr="008B0FC3" w:rsidRDefault="006A0A99" w:rsidP="00ED2AB1">
      <w:pPr>
        <w:pStyle w:val="AqpText"/>
      </w:pPr>
      <w:r w:rsidRPr="008B0FC3">
        <w:t>Pro provizorní zásyp rýhy v komunikaci bude použit živičný recyklát tloušťky 500 mm. Pro provizorní zásyp rýhy v chodníku bude použit živičný recyklát tloušťky 250 mm.</w:t>
      </w:r>
    </w:p>
    <w:p w14:paraId="424CF5D4" w14:textId="77777777" w:rsidR="008D0C3D" w:rsidRPr="008B0FC3" w:rsidRDefault="00ED2AB1" w:rsidP="00ED2AB1">
      <w:pPr>
        <w:pStyle w:val="Nadpis2"/>
      </w:pPr>
      <w:bookmarkStart w:id="74" w:name="_Toc53736247"/>
      <w:r w:rsidRPr="008B0FC3">
        <w:t>Hutnění</w:t>
      </w:r>
      <w:bookmarkEnd w:id="74"/>
    </w:p>
    <w:p w14:paraId="1D7F90A6" w14:textId="77777777" w:rsidR="008D0C3D" w:rsidRPr="008B0FC3" w:rsidRDefault="008D0C3D" w:rsidP="008D0C3D">
      <w:pPr>
        <w:pStyle w:val="AqpText"/>
      </w:pPr>
      <w:r w:rsidRPr="008B0FC3">
        <w:t>Hutnění bude prováděno vibračními pěchy, deskami, ručními vibračními vály, nebo jinou vhodnou technikou. Mocnost ukládaných a hutněných vrstev bude přizpůsobena použité hutnící technice, šířce rýhy a zhutnitelnosti materiálu</w:t>
      </w:r>
      <w:r w:rsidR="00ED2AB1" w:rsidRPr="008B0FC3">
        <w:t>, maximálně však 20 cm. Dosažený stupeň zhutnění musí být min 95 % PS. Ekvivalentní modul pružnosti E</w:t>
      </w:r>
      <w:r w:rsidR="00ED2AB1" w:rsidRPr="008B0FC3">
        <w:rPr>
          <w:vertAlign w:val="subscript"/>
        </w:rPr>
        <w:t>ns</w:t>
      </w:r>
      <w:r w:rsidR="00ED2AB1" w:rsidRPr="008B0FC3">
        <w:t xml:space="preserve"> </w:t>
      </w:r>
      <w:r w:rsidR="00ED2AB1" w:rsidRPr="008B0FC3">
        <w:sym w:font="Symbol" w:char="F0B3"/>
      </w:r>
      <w:r w:rsidR="00ED2AB1" w:rsidRPr="008B0FC3">
        <w:t xml:space="preserve"> 45 MPa.</w:t>
      </w:r>
    </w:p>
    <w:p w14:paraId="41DCE07C" w14:textId="77777777" w:rsidR="00ED2AB1" w:rsidRPr="008B0FC3" w:rsidRDefault="00ED2AB1" w:rsidP="00ED2AB1">
      <w:pPr>
        <w:pStyle w:val="AqpText"/>
      </w:pPr>
      <w:r w:rsidRPr="008B0FC3">
        <w:t>Výsledkem musí být stav, kdy nebude docházet k žádným poklesům ani v prostoru zpevněné vozovky, ani v prostoru chodníků.</w:t>
      </w:r>
    </w:p>
    <w:p w14:paraId="519CC705" w14:textId="5811275C" w:rsidR="00A66AD1" w:rsidRPr="008B0FC3" w:rsidRDefault="00ED2AB1" w:rsidP="008D0C3D">
      <w:pPr>
        <w:pStyle w:val="AqpText"/>
      </w:pPr>
      <w:r w:rsidRPr="008B0FC3">
        <w:t>Konkrétní skladba jednotlivých vrstev ve výkopu se bude řídit vzorovým výkres</w:t>
      </w:r>
      <w:r w:rsidR="00E602C9" w:rsidRPr="008B0FC3">
        <w:t>em</w:t>
      </w:r>
      <w:r w:rsidRPr="008B0FC3">
        <w:t xml:space="preserve"> uložení potrubí (přílohy D.1.7.1</w:t>
      </w:r>
      <w:r w:rsidR="002424E4" w:rsidRPr="008B0FC3">
        <w:t xml:space="preserve"> </w:t>
      </w:r>
      <w:r w:rsidR="002424E4" w:rsidRPr="008B0FC3">
        <w:br/>
        <w:t xml:space="preserve">a </w:t>
      </w:r>
      <w:r w:rsidR="007D3B17" w:rsidRPr="008B0FC3">
        <w:t>D.1.7.2</w:t>
      </w:r>
      <w:r w:rsidRPr="008B0FC3">
        <w:t>).</w:t>
      </w:r>
    </w:p>
    <w:p w14:paraId="068BD9B8" w14:textId="77777777" w:rsidR="00ED2AB1" w:rsidRPr="008B0FC3" w:rsidRDefault="00A66AD1" w:rsidP="00A66AD1">
      <w:pPr>
        <w:pStyle w:val="Nadpis2"/>
      </w:pPr>
      <w:bookmarkStart w:id="75" w:name="_Toc53736248"/>
      <w:r w:rsidRPr="008B0FC3">
        <w:t>Odvoz nevhodného materiálu</w:t>
      </w:r>
      <w:bookmarkEnd w:id="75"/>
    </w:p>
    <w:p w14:paraId="3E2C2596" w14:textId="77777777" w:rsidR="002D0192" w:rsidRPr="008B0FC3" w:rsidRDefault="002D0192" w:rsidP="002D0192">
      <w:pPr>
        <w:pStyle w:val="AqpText"/>
      </w:pPr>
      <w:r w:rsidRPr="008B0FC3">
        <w:t>Tabulka odpadů produkovaných v době výstavby a způsoby nakládání s nimi je detailně řešena B.6.1 (Vliv na životní prostředí) v příloze B této PD (Souhrnná technická zpráva).</w:t>
      </w:r>
    </w:p>
    <w:p w14:paraId="3EAAB8BE" w14:textId="77777777" w:rsidR="002D0192" w:rsidRPr="008B0FC3" w:rsidRDefault="002D0192" w:rsidP="002D0192">
      <w:pPr>
        <w:pStyle w:val="AqpText"/>
      </w:pPr>
      <w:r w:rsidRPr="008B0FC3">
        <w:t xml:space="preserve">Všeobecně lze říci, že během stavby kanalizace bude řešen: </w:t>
      </w:r>
    </w:p>
    <w:p w14:paraId="367E3547" w14:textId="5BD7CC35" w:rsidR="002D0192" w:rsidRPr="008B0FC3" w:rsidRDefault="002D0192" w:rsidP="002D0192">
      <w:pPr>
        <w:pStyle w:val="AqpText"/>
        <w:ind w:firstLine="709"/>
      </w:pPr>
      <w:r w:rsidRPr="008B0FC3">
        <w:t xml:space="preserve">Odvoz konstrukčních vrstev vybouraných vozovek </w:t>
      </w:r>
      <w:r w:rsidRPr="008B0FC3">
        <w:tab/>
      </w:r>
      <w:r w:rsidRPr="008B0FC3">
        <w:tab/>
      </w:r>
      <w:r w:rsidRPr="008B0FC3">
        <w:tab/>
        <w:t xml:space="preserve">– recyklační linka Dufonev – </w:t>
      </w:r>
      <w:r w:rsidR="002424E4" w:rsidRPr="008B0FC3">
        <w:t>13</w:t>
      </w:r>
      <w:r w:rsidRPr="008B0FC3">
        <w:t xml:space="preserve"> km</w:t>
      </w:r>
    </w:p>
    <w:p w14:paraId="22CEBFFC" w14:textId="2B22E658" w:rsidR="002D0192" w:rsidRPr="008B0FC3" w:rsidRDefault="002D0192" w:rsidP="002D0192">
      <w:pPr>
        <w:pStyle w:val="AqpText"/>
        <w:ind w:firstLine="709"/>
      </w:pPr>
      <w:r w:rsidRPr="008B0FC3">
        <w:lastRenderedPageBreak/>
        <w:t xml:space="preserve">Odvoz vybouraného kanalizačního potrubí a dalších konstrukcí </w:t>
      </w:r>
      <w:r w:rsidRPr="008B0FC3">
        <w:tab/>
        <w:t xml:space="preserve">– recyklační linka Dufonev – </w:t>
      </w:r>
      <w:r w:rsidR="002424E4" w:rsidRPr="008B0FC3">
        <w:t>13</w:t>
      </w:r>
      <w:r w:rsidRPr="008B0FC3">
        <w:t xml:space="preserve"> km</w:t>
      </w:r>
    </w:p>
    <w:p w14:paraId="70A7DC31" w14:textId="77777777" w:rsidR="002D0192" w:rsidRPr="008B0FC3" w:rsidRDefault="002D0192" w:rsidP="002D0192">
      <w:pPr>
        <w:pStyle w:val="AqpText"/>
        <w:ind w:firstLine="709"/>
      </w:pPr>
      <w:r w:rsidRPr="008B0FC3">
        <w:t>Odvoz vytěžené zeminy:</w:t>
      </w:r>
    </w:p>
    <w:p w14:paraId="72B74619" w14:textId="0452C0A4" w:rsidR="002D0192" w:rsidRPr="008B0FC3" w:rsidRDefault="002D0192" w:rsidP="002D0192">
      <w:pPr>
        <w:pStyle w:val="AqpText"/>
        <w:ind w:left="709" w:firstLine="709"/>
      </w:pPr>
      <w:r w:rsidRPr="008B0FC3">
        <w:t xml:space="preserve">navážka </w:t>
      </w:r>
      <w:r w:rsidRPr="008B0FC3">
        <w:tab/>
      </w:r>
      <w:r w:rsidRPr="008B0FC3">
        <w:tab/>
      </w:r>
      <w:r w:rsidRPr="008B0FC3">
        <w:tab/>
      </w:r>
      <w:r w:rsidRPr="008B0FC3">
        <w:tab/>
      </w:r>
      <w:r w:rsidRPr="008B0FC3">
        <w:tab/>
      </w:r>
      <w:r w:rsidRPr="008B0FC3">
        <w:tab/>
        <w:t xml:space="preserve">– </w:t>
      </w:r>
      <w:r w:rsidR="00122389" w:rsidRPr="008B0FC3">
        <w:t>recyklační linka Dufonev</w:t>
      </w:r>
      <w:r w:rsidRPr="008B0FC3">
        <w:t xml:space="preserve"> – </w:t>
      </w:r>
      <w:r w:rsidR="002424E4" w:rsidRPr="008B0FC3">
        <w:t>13</w:t>
      </w:r>
      <w:r w:rsidR="007D3B17" w:rsidRPr="008B0FC3">
        <w:t xml:space="preserve"> km</w:t>
      </w:r>
    </w:p>
    <w:p w14:paraId="7C09287C" w14:textId="54A7B3DF" w:rsidR="002D0192" w:rsidRPr="008B0FC3" w:rsidRDefault="002D0192" w:rsidP="002D0192">
      <w:pPr>
        <w:pStyle w:val="AqpText"/>
        <w:ind w:left="709" w:firstLine="709"/>
      </w:pPr>
      <w:r w:rsidRPr="008B0FC3">
        <w:t xml:space="preserve">hlinitý materiál </w:t>
      </w:r>
      <w:r w:rsidRPr="008B0FC3">
        <w:tab/>
      </w:r>
      <w:r w:rsidRPr="008B0FC3">
        <w:tab/>
      </w:r>
      <w:r w:rsidRPr="008B0FC3">
        <w:tab/>
      </w:r>
      <w:r w:rsidRPr="008B0FC3">
        <w:tab/>
      </w:r>
      <w:r w:rsidRPr="008B0FC3">
        <w:tab/>
      </w:r>
      <w:r w:rsidRPr="008B0FC3">
        <w:tab/>
      </w:r>
      <w:r w:rsidR="00122389" w:rsidRPr="008B0FC3">
        <w:t>– recyklační linka Dufonev</w:t>
      </w:r>
      <w:r w:rsidRPr="008B0FC3">
        <w:t xml:space="preserve"> – </w:t>
      </w:r>
      <w:r w:rsidR="002424E4" w:rsidRPr="008B0FC3">
        <w:t>13</w:t>
      </w:r>
      <w:r w:rsidRPr="008B0FC3">
        <w:t xml:space="preserve"> km</w:t>
      </w:r>
    </w:p>
    <w:p w14:paraId="0663238C" w14:textId="77777777" w:rsidR="002D0192" w:rsidRPr="008B0FC3" w:rsidRDefault="002D0192" w:rsidP="002D0192">
      <w:pPr>
        <w:pStyle w:val="AqpText"/>
        <w:rPr>
          <w:i/>
        </w:rPr>
      </w:pPr>
      <w:r w:rsidRPr="008B0FC3">
        <w:rPr>
          <w:i/>
        </w:rPr>
        <w:t>Pozn.</w:t>
      </w:r>
      <w:r w:rsidRPr="008B0FC3">
        <w:rPr>
          <w:i/>
        </w:rPr>
        <w:tab/>
        <w:t>Všechny vzdálenosti jsou uvedeny pouze pro jeden směr jízdy.</w:t>
      </w:r>
    </w:p>
    <w:p w14:paraId="24576723" w14:textId="77777777" w:rsidR="008D0C3D" w:rsidRPr="008B0FC3" w:rsidRDefault="008D0C3D">
      <w:pPr>
        <w:pStyle w:val="AqpText"/>
      </w:pPr>
    </w:p>
    <w:p w14:paraId="481C62CF" w14:textId="77777777" w:rsidR="00A66AD1" w:rsidRPr="008B0FC3" w:rsidRDefault="00A66AD1" w:rsidP="00A66AD1">
      <w:pPr>
        <w:pStyle w:val="Nadpis1"/>
      </w:pPr>
      <w:bookmarkStart w:id="76" w:name="_Toc53736249"/>
      <w:r w:rsidRPr="008B0FC3">
        <w:t>Termín zahájení stavby</w:t>
      </w:r>
      <w:bookmarkEnd w:id="76"/>
    </w:p>
    <w:p w14:paraId="040788C7" w14:textId="57C1A873" w:rsidR="007D3B17" w:rsidRPr="008B0FC3" w:rsidRDefault="007D3B17" w:rsidP="007D3B17">
      <w:pPr>
        <w:pStyle w:val="AqpText"/>
      </w:pPr>
      <w:r w:rsidRPr="008B0FC3">
        <w:t>Předpokládá se zahájení v roce 20</w:t>
      </w:r>
      <w:r w:rsidR="002424E4" w:rsidRPr="008B0FC3">
        <w:t>22</w:t>
      </w:r>
      <w:r w:rsidRPr="008B0FC3">
        <w:t>.</w:t>
      </w:r>
    </w:p>
    <w:p w14:paraId="3016EB26" w14:textId="77777777" w:rsidR="007D3B17" w:rsidRPr="008B0FC3" w:rsidRDefault="007D3B17" w:rsidP="007D3B17">
      <w:pPr>
        <w:pStyle w:val="AqpText"/>
      </w:pPr>
      <w:r w:rsidRPr="008B0FC3">
        <w:t>Přesný termín zahájení bude (mimo jiné) závislý od průběhu výběrového řízení na zhotovitele stavby.</w:t>
      </w:r>
    </w:p>
    <w:p w14:paraId="7A47D4C3" w14:textId="77777777" w:rsidR="00A66AD1" w:rsidRPr="008B0FC3" w:rsidRDefault="00A66AD1" w:rsidP="00A66AD1">
      <w:pPr>
        <w:pStyle w:val="AqpText"/>
      </w:pPr>
    </w:p>
    <w:p w14:paraId="30BA3361" w14:textId="77777777" w:rsidR="00A66AD1" w:rsidRPr="008B0FC3" w:rsidRDefault="00A66AD1" w:rsidP="00A66AD1">
      <w:pPr>
        <w:pStyle w:val="Nadpis1"/>
      </w:pPr>
      <w:bookmarkStart w:id="77" w:name="_Toc53736250"/>
      <w:r w:rsidRPr="008B0FC3">
        <w:t>Zkušební provoz</w:t>
      </w:r>
      <w:bookmarkEnd w:id="77"/>
    </w:p>
    <w:p w14:paraId="7251D180" w14:textId="77777777" w:rsidR="00A66AD1" w:rsidRPr="008B0FC3" w:rsidRDefault="00A66AD1" w:rsidP="00A66AD1">
      <w:pPr>
        <w:pStyle w:val="AqpText"/>
      </w:pPr>
      <w:r w:rsidRPr="008B0FC3">
        <w:t>Na základě požadavku investora se zkušební provoz nepředepisuje.</w:t>
      </w:r>
    </w:p>
    <w:p w14:paraId="47DEFD5B" w14:textId="77777777" w:rsidR="00A66AD1" w:rsidRPr="008B0FC3" w:rsidRDefault="00A66AD1" w:rsidP="00A66AD1">
      <w:pPr>
        <w:pStyle w:val="AqpText"/>
      </w:pPr>
    </w:p>
    <w:p w14:paraId="50AA6E97" w14:textId="77777777" w:rsidR="00A66AD1" w:rsidRPr="008B0FC3" w:rsidRDefault="00A66AD1" w:rsidP="00A66AD1">
      <w:pPr>
        <w:pStyle w:val="Nadpis1"/>
      </w:pPr>
      <w:bookmarkStart w:id="78" w:name="_Toc53736251"/>
      <w:r w:rsidRPr="008B0FC3">
        <w:t>Celkové náklady stavby</w:t>
      </w:r>
      <w:bookmarkEnd w:id="78"/>
    </w:p>
    <w:p w14:paraId="35616B3A" w14:textId="77777777" w:rsidR="00A66AD1" w:rsidRPr="008B0FC3" w:rsidRDefault="00A66AD1" w:rsidP="00A66AD1">
      <w:pPr>
        <w:pStyle w:val="AqpText"/>
      </w:pPr>
      <w:r w:rsidRPr="008B0FC3">
        <w:t>Tato část je zpracována na základě požadavku investora v sa</w:t>
      </w:r>
      <w:r w:rsidR="0072145A" w:rsidRPr="008B0FC3">
        <w:t>mostatné kapitole – viz. část G</w:t>
      </w:r>
      <w:r w:rsidRPr="008B0FC3">
        <w:t xml:space="preserve"> </w:t>
      </w:r>
      <w:r w:rsidR="0072145A" w:rsidRPr="008B0FC3">
        <w:t>–</w:t>
      </w:r>
      <w:r w:rsidRPr="008B0FC3">
        <w:t xml:space="preserve"> Výkaz výměr a položkový rozpočet.</w:t>
      </w:r>
    </w:p>
    <w:p w14:paraId="755B57C6" w14:textId="77777777" w:rsidR="00A66AD1" w:rsidRPr="008B0FC3" w:rsidRDefault="00A66AD1" w:rsidP="00A66AD1">
      <w:pPr>
        <w:pStyle w:val="AqpText"/>
      </w:pPr>
    </w:p>
    <w:p w14:paraId="4C43409D" w14:textId="77777777" w:rsidR="00A66AD1" w:rsidRPr="008B0FC3" w:rsidRDefault="00A66AD1" w:rsidP="00A66AD1">
      <w:pPr>
        <w:pStyle w:val="AqpText"/>
      </w:pPr>
    </w:p>
    <w:p w14:paraId="4B12A046" w14:textId="77777777" w:rsidR="00282136" w:rsidRPr="008B0FC3" w:rsidRDefault="00282136" w:rsidP="00A66AD1">
      <w:pPr>
        <w:pStyle w:val="AqpText"/>
      </w:pPr>
    </w:p>
    <w:p w14:paraId="249B8415" w14:textId="77777777" w:rsidR="00A945E7" w:rsidRPr="008B0FC3" w:rsidRDefault="00A945E7" w:rsidP="00A66AD1">
      <w:pPr>
        <w:pStyle w:val="AqpText"/>
      </w:pPr>
    </w:p>
    <w:p w14:paraId="7D26ED9F" w14:textId="77777777" w:rsidR="00A945E7" w:rsidRPr="008B0FC3" w:rsidRDefault="00A945E7" w:rsidP="00A66AD1">
      <w:pPr>
        <w:pStyle w:val="AqpText"/>
      </w:pPr>
    </w:p>
    <w:p w14:paraId="0673A809" w14:textId="0F0354BB" w:rsidR="00A945E7" w:rsidRDefault="00A945E7" w:rsidP="00A66AD1">
      <w:pPr>
        <w:pStyle w:val="AqpText"/>
      </w:pPr>
    </w:p>
    <w:p w14:paraId="0DD633BF" w14:textId="77777777" w:rsidR="004B5019" w:rsidRPr="008B0FC3" w:rsidRDefault="004B5019" w:rsidP="00A66AD1">
      <w:pPr>
        <w:pStyle w:val="AqpText"/>
      </w:pPr>
    </w:p>
    <w:p w14:paraId="1E0221A3" w14:textId="77777777" w:rsidR="00A945E7" w:rsidRPr="008B0FC3" w:rsidRDefault="00A945E7" w:rsidP="00A66AD1">
      <w:pPr>
        <w:pStyle w:val="AqpText"/>
      </w:pPr>
    </w:p>
    <w:p w14:paraId="52D11ED0" w14:textId="77777777" w:rsidR="00A945E7" w:rsidRPr="008B0FC3" w:rsidRDefault="00A945E7" w:rsidP="00A66AD1">
      <w:pPr>
        <w:pStyle w:val="AqpText"/>
      </w:pPr>
    </w:p>
    <w:p w14:paraId="3B97FF09" w14:textId="77777777" w:rsidR="00A945E7" w:rsidRPr="008B0FC3" w:rsidRDefault="00A945E7" w:rsidP="00A66AD1">
      <w:pPr>
        <w:pStyle w:val="AqpText"/>
      </w:pPr>
    </w:p>
    <w:p w14:paraId="511FBE35" w14:textId="77777777" w:rsidR="00A66AD1" w:rsidRPr="008B0FC3" w:rsidRDefault="00A66AD1" w:rsidP="00A66AD1">
      <w:pPr>
        <w:pStyle w:val="AqpText"/>
      </w:pPr>
    </w:p>
    <w:p w14:paraId="0DA59E94" w14:textId="323DB97E" w:rsidR="009A131B" w:rsidRPr="008B0FC3" w:rsidRDefault="00A66AD1" w:rsidP="00A66AD1">
      <w:pPr>
        <w:pStyle w:val="AqpText"/>
      </w:pPr>
      <w:r w:rsidRPr="008B0FC3">
        <w:t xml:space="preserve">V Brně, </w:t>
      </w:r>
      <w:r w:rsidR="002424E4" w:rsidRPr="008B0FC3">
        <w:t>09/</w:t>
      </w:r>
      <w:r w:rsidRPr="008B0FC3">
        <w:t>20</w:t>
      </w:r>
      <w:r w:rsidR="002424E4" w:rsidRPr="008B0FC3">
        <w:t>20</w:t>
      </w:r>
      <w:r w:rsidRPr="008B0FC3">
        <w:tab/>
      </w:r>
      <w:r w:rsidRPr="008B0FC3">
        <w:tab/>
      </w:r>
      <w:r w:rsidRPr="008B0FC3">
        <w:tab/>
      </w:r>
      <w:r w:rsidR="0072145A" w:rsidRPr="008B0FC3">
        <w:tab/>
      </w:r>
      <w:r w:rsidRPr="008B0FC3">
        <w:tab/>
      </w:r>
      <w:r w:rsidRPr="008B0FC3">
        <w:tab/>
      </w:r>
      <w:r w:rsidRPr="008B0FC3">
        <w:tab/>
      </w:r>
      <w:r w:rsidRPr="008B0FC3">
        <w:tab/>
      </w:r>
      <w:r w:rsidRPr="008B0FC3">
        <w:tab/>
      </w:r>
      <w:r w:rsidR="0072145A" w:rsidRPr="008B0FC3">
        <w:t>Bc</w:t>
      </w:r>
      <w:r w:rsidRPr="008B0FC3">
        <w:t xml:space="preserve">. </w:t>
      </w:r>
      <w:r w:rsidR="0072145A" w:rsidRPr="008B0FC3">
        <w:t>Štěpán Vlach</w:t>
      </w:r>
    </w:p>
    <w:sectPr w:rsidR="009A131B" w:rsidRPr="008B0FC3" w:rsidSect="00BD6661">
      <w:headerReference w:type="default" r:id="rId9"/>
      <w:footerReference w:type="default" r:id="rId10"/>
      <w:pgSz w:w="11906" w:h="16838" w:code="9"/>
      <w:pgMar w:top="1701" w:right="851" w:bottom="1418" w:left="851" w:header="709" w:footer="709" w:gutter="567"/>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403F7C" w14:textId="77777777" w:rsidR="006507E3" w:rsidRDefault="006507E3">
      <w:r>
        <w:separator/>
      </w:r>
    </w:p>
    <w:p w14:paraId="40D064B1" w14:textId="77777777" w:rsidR="006507E3" w:rsidRDefault="006507E3"/>
  </w:endnote>
  <w:endnote w:type="continuationSeparator" w:id="0">
    <w:p w14:paraId="2C4041AA" w14:textId="77777777" w:rsidR="006507E3" w:rsidRDefault="006507E3">
      <w:r>
        <w:continuationSeparator/>
      </w:r>
    </w:p>
    <w:p w14:paraId="3823CFEE" w14:textId="77777777" w:rsidR="006507E3" w:rsidRDefault="006507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9C3926" w14:textId="33F9EC2D" w:rsidR="00F6138D" w:rsidRDefault="00F6138D" w:rsidP="00D76E62">
    <w:pPr>
      <w:pStyle w:val="Zpat"/>
      <w:pBdr>
        <w:top w:val="single" w:sz="4" w:space="1" w:color="006699"/>
      </w:pBdr>
      <w:tabs>
        <w:tab w:val="clear" w:pos="8505"/>
        <w:tab w:val="right" w:pos="9639"/>
      </w:tabs>
    </w:pPr>
    <w:r>
      <w:t>STAVEBNÍ ČÁST - KANALIZACE</w:t>
    </w:r>
    <w:r>
      <w:tab/>
    </w:r>
    <w:r>
      <w:fldChar w:fldCharType="begin"/>
    </w:r>
    <w:r>
      <w:instrText xml:space="preserve"> REF Datum_hl \h </w:instrText>
    </w:r>
    <w:r>
      <w:fldChar w:fldCharType="separate"/>
    </w:r>
    <w:r w:rsidR="00376771">
      <w:t>11/2020</w:t>
    </w:r>
    <w:r>
      <w:fldChar w:fldCharType="end"/>
    </w:r>
  </w:p>
  <w:p w14:paraId="3B49382D" w14:textId="4B121AA0" w:rsidR="00F6138D" w:rsidRDefault="00F6138D" w:rsidP="00D54C65">
    <w:pPr>
      <w:pStyle w:val="Zpat"/>
      <w:tabs>
        <w:tab w:val="clear" w:pos="8505"/>
        <w:tab w:val="right" w:pos="9639"/>
      </w:tabs>
    </w:pPr>
    <w:r>
      <w:fldChar w:fldCharType="begin"/>
    </w:r>
    <w:r>
      <w:instrText xml:space="preserve"> REF Stupen \h </w:instrText>
    </w:r>
    <w:r>
      <w:fldChar w:fldCharType="separate"/>
    </w:r>
    <w:r w:rsidR="00376771">
      <w:t>DSP,DPS</w:t>
    </w:r>
    <w:r>
      <w:fldChar w:fldCharType="end"/>
    </w:r>
    <w:r>
      <w:tab/>
    </w:r>
    <w:r>
      <w:fldChar w:fldCharType="begin"/>
    </w:r>
    <w:r>
      <w:instrText xml:space="preserve"> PAGE  \* MERGEFORMAT </w:instrText>
    </w:r>
    <w:r>
      <w:fldChar w:fldCharType="separate"/>
    </w:r>
    <w:r>
      <w:rPr>
        <w:noProof/>
      </w:rPr>
      <w:t>20</w:t>
    </w:r>
    <w:r>
      <w:rPr>
        <w:noProof/>
      </w:rPr>
      <w:fldChar w:fldCharType="end"/>
    </w:r>
    <w:r>
      <w:t xml:space="preserve"> / </w:t>
    </w:r>
    <w:r w:rsidR="006507E3">
      <w:fldChar w:fldCharType="begin"/>
    </w:r>
    <w:r w:rsidR="006507E3">
      <w:instrText xml:space="preserve"> NUMPAGES  \* MERGEFORMAT </w:instrText>
    </w:r>
    <w:r w:rsidR="006507E3">
      <w:fldChar w:fldCharType="separate"/>
    </w:r>
    <w:r>
      <w:rPr>
        <w:noProof/>
      </w:rPr>
      <w:t>24</w:t>
    </w:r>
    <w:r w:rsidR="006507E3">
      <w:rPr>
        <w:noProof/>
      </w:rPr>
      <w:fldChar w:fldCharType="end"/>
    </w:r>
  </w:p>
  <w:p w14:paraId="02FCFA3B" w14:textId="77777777" w:rsidR="00F6138D" w:rsidRDefault="00F6138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0570EB" w14:textId="77777777" w:rsidR="006507E3" w:rsidRDefault="006507E3">
      <w:r>
        <w:separator/>
      </w:r>
    </w:p>
    <w:p w14:paraId="66C9B0CC" w14:textId="77777777" w:rsidR="006507E3" w:rsidRDefault="006507E3"/>
  </w:footnote>
  <w:footnote w:type="continuationSeparator" w:id="0">
    <w:p w14:paraId="5CEF8837" w14:textId="77777777" w:rsidR="006507E3" w:rsidRDefault="006507E3">
      <w:r>
        <w:continuationSeparator/>
      </w:r>
    </w:p>
    <w:p w14:paraId="6C49953F" w14:textId="77777777" w:rsidR="006507E3" w:rsidRDefault="006507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2" w:type="dxa"/>
      <w:tblLook w:val="01E0" w:firstRow="1" w:lastRow="1" w:firstColumn="1" w:lastColumn="1" w:noHBand="0" w:noVBand="0"/>
    </w:tblPr>
    <w:tblGrid>
      <w:gridCol w:w="6930"/>
      <w:gridCol w:w="2638"/>
    </w:tblGrid>
    <w:tr w:rsidR="00F6138D" w14:paraId="114FDB71" w14:textId="77777777">
      <w:tc>
        <w:tcPr>
          <w:tcW w:w="7128" w:type="dxa"/>
          <w:tcBorders>
            <w:bottom w:val="single" w:sz="4" w:space="0" w:color="006699"/>
          </w:tcBorders>
          <w:vAlign w:val="center"/>
        </w:tcPr>
        <w:p w14:paraId="040D973D" w14:textId="39B514FA" w:rsidR="00F6138D" w:rsidRDefault="00F6138D" w:rsidP="001E6170">
          <w:pPr>
            <w:pStyle w:val="Zhlav"/>
          </w:pPr>
          <w:r>
            <w:t>BRNO, STRÁNSKÉHO – REKONSTRUKCE KANALIZACE A VODOVODU</w:t>
          </w:r>
        </w:p>
      </w:tc>
      <w:tc>
        <w:tcPr>
          <w:tcW w:w="2649" w:type="dxa"/>
        </w:tcPr>
        <w:p w14:paraId="186FBA6E" w14:textId="77777777" w:rsidR="00F6138D" w:rsidRDefault="00F6138D" w:rsidP="0057276A">
          <w:pPr>
            <w:pStyle w:val="Zhlav"/>
            <w:jc w:val="right"/>
          </w:pPr>
          <w:r>
            <w:rPr>
              <w:noProof/>
            </w:rPr>
            <w:drawing>
              <wp:inline distT="0" distB="0" distL="0" distR="0" wp14:anchorId="72457EB5" wp14:editId="6F1AE9A0">
                <wp:extent cx="1352550" cy="361950"/>
                <wp:effectExtent l="0" t="0" r="0" b="0"/>
                <wp:docPr id="2" name="obrázek 3" descr="AQP_logo_emf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AQP_logo_emf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2550" cy="361950"/>
                        </a:xfrm>
                        <a:prstGeom prst="rect">
                          <a:avLst/>
                        </a:prstGeom>
                        <a:noFill/>
                        <a:ln>
                          <a:noFill/>
                        </a:ln>
                      </pic:spPr>
                    </pic:pic>
                  </a:graphicData>
                </a:graphic>
              </wp:inline>
            </w:drawing>
          </w:r>
        </w:p>
      </w:tc>
    </w:tr>
  </w:tbl>
  <w:p w14:paraId="3FA22A7C" w14:textId="22F72229" w:rsidR="00F6138D" w:rsidRDefault="00F6138D" w:rsidP="00F17F4E">
    <w:pPr>
      <w:pStyle w:val="Zhlav"/>
      <w:rPr>
        <w:sz w:val="12"/>
        <w:szCs w:val="12"/>
      </w:rPr>
    </w:pPr>
    <w:r>
      <w:rPr>
        <w:sz w:val="12"/>
        <w:szCs w:val="12"/>
      </w:rPr>
      <w:t xml:space="preserve">Zakázkové číslo: </w:t>
    </w:r>
    <w:r>
      <w:fldChar w:fldCharType="begin"/>
    </w:r>
    <w:r>
      <w:instrText xml:space="preserve"> REF Zak_cislo \h  \* MERGEFORMAT </w:instrText>
    </w:r>
    <w:r>
      <w:fldChar w:fldCharType="separate"/>
    </w:r>
    <w:r w:rsidR="00376771" w:rsidRPr="00376771">
      <w:rPr>
        <w:sz w:val="12"/>
        <w:szCs w:val="12"/>
      </w:rPr>
      <w:t>1532719-16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02D620A4"/>
    <w:lvl w:ilvl="0">
      <w:start w:val="1"/>
      <w:numFmt w:val="bullet"/>
      <w:pStyle w:val="Seznamsodrkami5"/>
      <w:lvlText w:val=""/>
      <w:lvlJc w:val="left"/>
      <w:pPr>
        <w:tabs>
          <w:tab w:val="num" w:pos="1492"/>
        </w:tabs>
        <w:ind w:left="1492" w:hanging="360"/>
      </w:pPr>
      <w:rPr>
        <w:rFonts w:ascii="Symbol" w:hAnsi="Symbol" w:cs="Symbol" w:hint="default"/>
      </w:rPr>
    </w:lvl>
  </w:abstractNum>
  <w:abstractNum w:abstractNumId="1" w15:restartNumberingAfterBreak="0">
    <w:nsid w:val="FFFFFF81"/>
    <w:multiLevelType w:val="singleLevel"/>
    <w:tmpl w:val="7D18A640"/>
    <w:lvl w:ilvl="0">
      <w:start w:val="1"/>
      <w:numFmt w:val="bullet"/>
      <w:pStyle w:val="Seznamsodrkami4"/>
      <w:lvlText w:val=""/>
      <w:lvlJc w:val="left"/>
      <w:pPr>
        <w:tabs>
          <w:tab w:val="num" w:pos="1209"/>
        </w:tabs>
        <w:ind w:left="1209" w:hanging="360"/>
      </w:pPr>
      <w:rPr>
        <w:rFonts w:ascii="Symbol" w:hAnsi="Symbol" w:cs="Symbol" w:hint="default"/>
      </w:rPr>
    </w:lvl>
  </w:abstractNum>
  <w:abstractNum w:abstractNumId="2" w15:restartNumberingAfterBreak="0">
    <w:nsid w:val="FFFFFF82"/>
    <w:multiLevelType w:val="singleLevel"/>
    <w:tmpl w:val="B600B352"/>
    <w:lvl w:ilvl="0">
      <w:start w:val="1"/>
      <w:numFmt w:val="bullet"/>
      <w:pStyle w:val="Seznamsodrkami3"/>
      <w:lvlText w:val=""/>
      <w:lvlJc w:val="left"/>
      <w:pPr>
        <w:tabs>
          <w:tab w:val="num" w:pos="926"/>
        </w:tabs>
        <w:ind w:left="926" w:hanging="360"/>
      </w:pPr>
      <w:rPr>
        <w:rFonts w:ascii="Symbol" w:hAnsi="Symbol" w:cs="Symbol" w:hint="default"/>
      </w:rPr>
    </w:lvl>
  </w:abstractNum>
  <w:abstractNum w:abstractNumId="3" w15:restartNumberingAfterBreak="0">
    <w:nsid w:val="FFFFFF83"/>
    <w:multiLevelType w:val="singleLevel"/>
    <w:tmpl w:val="2D0A4A24"/>
    <w:lvl w:ilvl="0">
      <w:start w:val="1"/>
      <w:numFmt w:val="bullet"/>
      <w:pStyle w:val="Seznamsodrkami2"/>
      <w:lvlText w:val=""/>
      <w:lvlJc w:val="left"/>
      <w:pPr>
        <w:tabs>
          <w:tab w:val="num" w:pos="643"/>
        </w:tabs>
        <w:ind w:left="643" w:hanging="360"/>
      </w:pPr>
      <w:rPr>
        <w:rFonts w:ascii="Symbol" w:hAnsi="Symbol" w:cs="Symbol" w:hint="default"/>
      </w:rPr>
    </w:lvl>
  </w:abstractNum>
  <w:abstractNum w:abstractNumId="4" w15:restartNumberingAfterBreak="0">
    <w:nsid w:val="FFFFFF89"/>
    <w:multiLevelType w:val="singleLevel"/>
    <w:tmpl w:val="26AE5E3E"/>
    <w:lvl w:ilvl="0">
      <w:start w:val="1"/>
      <w:numFmt w:val="bullet"/>
      <w:pStyle w:val="Seznamsodrkami"/>
      <w:lvlText w:val=""/>
      <w:lvlJc w:val="left"/>
      <w:pPr>
        <w:tabs>
          <w:tab w:val="num" w:pos="360"/>
        </w:tabs>
        <w:ind w:left="360" w:hanging="360"/>
      </w:pPr>
      <w:rPr>
        <w:rFonts w:ascii="Symbol" w:hAnsi="Symbol" w:cs="Symbol" w:hint="default"/>
      </w:rPr>
    </w:lvl>
  </w:abstractNum>
  <w:abstractNum w:abstractNumId="5" w15:restartNumberingAfterBreak="0">
    <w:nsid w:val="0169567A"/>
    <w:multiLevelType w:val="hybridMultilevel"/>
    <w:tmpl w:val="A8B6D9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37F5D48"/>
    <w:multiLevelType w:val="hybridMultilevel"/>
    <w:tmpl w:val="D6A4E9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7A4F8E"/>
    <w:multiLevelType w:val="hybridMultilevel"/>
    <w:tmpl w:val="694C10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2A626BC"/>
    <w:multiLevelType w:val="hybridMultilevel"/>
    <w:tmpl w:val="79FAEA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50F13E0"/>
    <w:multiLevelType w:val="multilevel"/>
    <w:tmpl w:val="DA8E37BE"/>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0" w15:restartNumberingAfterBreak="0">
    <w:nsid w:val="16254CB9"/>
    <w:multiLevelType w:val="hybridMultilevel"/>
    <w:tmpl w:val="D73E22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8FA75E9"/>
    <w:multiLevelType w:val="hybridMultilevel"/>
    <w:tmpl w:val="66FEB26C"/>
    <w:lvl w:ilvl="0" w:tplc="8E28199C">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C604808"/>
    <w:multiLevelType w:val="hybridMultilevel"/>
    <w:tmpl w:val="54BC220C"/>
    <w:lvl w:ilvl="0" w:tplc="53A2DAFA">
      <w:start w:val="4"/>
      <w:numFmt w:val="bullet"/>
      <w:lvlText w:val=""/>
      <w:lvlJc w:val="left"/>
      <w:pPr>
        <w:ind w:left="720" w:hanging="360"/>
      </w:pPr>
      <w:rPr>
        <w:rFonts w:ascii="Wingdings" w:eastAsia="Times New Roman"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E7239AC"/>
    <w:multiLevelType w:val="hybridMultilevel"/>
    <w:tmpl w:val="90CA0C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423166B"/>
    <w:multiLevelType w:val="hybridMultilevel"/>
    <w:tmpl w:val="6D503620"/>
    <w:lvl w:ilvl="0" w:tplc="04050001">
      <w:start w:val="1"/>
      <w:numFmt w:val="bullet"/>
      <w:lvlText w:val=""/>
      <w:lvlJc w:val="left"/>
      <w:pPr>
        <w:ind w:left="720" w:hanging="360"/>
      </w:pPr>
      <w:rPr>
        <w:rFonts w:ascii="Symbol" w:hAnsi="Symbol" w:hint="default"/>
      </w:rPr>
    </w:lvl>
    <w:lvl w:ilvl="1" w:tplc="28048E94">
      <w:numFmt w:val="bullet"/>
      <w:lvlText w:val="-"/>
      <w:lvlJc w:val="left"/>
      <w:pPr>
        <w:ind w:left="1785" w:hanging="705"/>
      </w:pPr>
      <w:rPr>
        <w:rFonts w:ascii="Arial Narrow" w:eastAsia="Times New Roman" w:hAnsi="Arial Narrow"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6472182"/>
    <w:multiLevelType w:val="hybridMultilevel"/>
    <w:tmpl w:val="A9DCF4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6653CAB"/>
    <w:multiLevelType w:val="hybridMultilevel"/>
    <w:tmpl w:val="60C28BB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8242D27"/>
    <w:multiLevelType w:val="hybridMultilevel"/>
    <w:tmpl w:val="E3C240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B023440"/>
    <w:multiLevelType w:val="hybridMultilevel"/>
    <w:tmpl w:val="47B8B5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E1A5BDD"/>
    <w:multiLevelType w:val="hybridMultilevel"/>
    <w:tmpl w:val="552E2C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0921271"/>
    <w:multiLevelType w:val="hybridMultilevel"/>
    <w:tmpl w:val="5680DB40"/>
    <w:lvl w:ilvl="0" w:tplc="B21C5D98">
      <w:numFmt w:val="bullet"/>
      <w:pStyle w:val="Aqpodrka1"/>
      <w:lvlText w:val="-"/>
      <w:lvlJc w:val="left"/>
      <w:pPr>
        <w:tabs>
          <w:tab w:val="num" w:pos="720"/>
        </w:tabs>
        <w:ind w:left="720" w:hanging="360"/>
      </w:pPr>
      <w:rPr>
        <w:rFonts w:ascii="Arial" w:eastAsia="Times New Roman" w:hAnsi="Arial" w:hint="default"/>
      </w:rPr>
    </w:lvl>
    <w:lvl w:ilvl="1" w:tplc="277621C0">
      <w:start w:val="1"/>
      <w:numFmt w:val="bullet"/>
      <w:lvlText w:val="o"/>
      <w:lvlJc w:val="left"/>
      <w:pPr>
        <w:tabs>
          <w:tab w:val="num" w:pos="1440"/>
        </w:tabs>
        <w:ind w:left="1440" w:hanging="360"/>
      </w:pPr>
      <w:rPr>
        <w:rFonts w:ascii="Courier New" w:hAnsi="Courier New" w:cs="Courier New" w:hint="default"/>
      </w:rPr>
    </w:lvl>
    <w:lvl w:ilvl="2" w:tplc="1A6273F2">
      <w:start w:val="1"/>
      <w:numFmt w:val="bullet"/>
      <w:lvlText w:val=""/>
      <w:lvlJc w:val="left"/>
      <w:pPr>
        <w:tabs>
          <w:tab w:val="num" w:pos="2160"/>
        </w:tabs>
        <w:ind w:left="2160" w:hanging="360"/>
      </w:pPr>
      <w:rPr>
        <w:rFonts w:ascii="Wingdings" w:hAnsi="Wingdings" w:cs="Wingdings" w:hint="default"/>
      </w:rPr>
    </w:lvl>
    <w:lvl w:ilvl="3" w:tplc="8E28199C">
      <w:start w:val="1"/>
      <w:numFmt w:val="bullet"/>
      <w:lvlText w:val=""/>
      <w:lvlJc w:val="left"/>
      <w:pPr>
        <w:tabs>
          <w:tab w:val="num" w:pos="2880"/>
        </w:tabs>
        <w:ind w:left="2880" w:hanging="360"/>
      </w:pPr>
      <w:rPr>
        <w:rFonts w:ascii="Symbol" w:hAnsi="Symbol" w:cs="Symbol" w:hint="default"/>
      </w:rPr>
    </w:lvl>
    <w:lvl w:ilvl="4" w:tplc="B4186998">
      <w:start w:val="1"/>
      <w:numFmt w:val="bullet"/>
      <w:lvlText w:val="o"/>
      <w:lvlJc w:val="left"/>
      <w:pPr>
        <w:tabs>
          <w:tab w:val="num" w:pos="3600"/>
        </w:tabs>
        <w:ind w:left="3600" w:hanging="360"/>
      </w:pPr>
      <w:rPr>
        <w:rFonts w:ascii="Courier New" w:hAnsi="Courier New" w:cs="Courier New" w:hint="default"/>
      </w:rPr>
    </w:lvl>
    <w:lvl w:ilvl="5" w:tplc="57B05DDA">
      <w:start w:val="1"/>
      <w:numFmt w:val="bullet"/>
      <w:lvlText w:val=""/>
      <w:lvlJc w:val="left"/>
      <w:pPr>
        <w:tabs>
          <w:tab w:val="num" w:pos="4320"/>
        </w:tabs>
        <w:ind w:left="4320" w:hanging="360"/>
      </w:pPr>
      <w:rPr>
        <w:rFonts w:ascii="Wingdings" w:hAnsi="Wingdings" w:cs="Wingdings" w:hint="default"/>
      </w:rPr>
    </w:lvl>
    <w:lvl w:ilvl="6" w:tplc="D6D8ACD4">
      <w:start w:val="1"/>
      <w:numFmt w:val="bullet"/>
      <w:lvlText w:val=""/>
      <w:lvlJc w:val="left"/>
      <w:pPr>
        <w:tabs>
          <w:tab w:val="num" w:pos="5040"/>
        </w:tabs>
        <w:ind w:left="5040" w:hanging="360"/>
      </w:pPr>
      <w:rPr>
        <w:rFonts w:ascii="Symbol" w:hAnsi="Symbol" w:cs="Symbol" w:hint="default"/>
      </w:rPr>
    </w:lvl>
    <w:lvl w:ilvl="7" w:tplc="C08AFD70">
      <w:start w:val="1"/>
      <w:numFmt w:val="bullet"/>
      <w:lvlText w:val="o"/>
      <w:lvlJc w:val="left"/>
      <w:pPr>
        <w:tabs>
          <w:tab w:val="num" w:pos="5760"/>
        </w:tabs>
        <w:ind w:left="5760" w:hanging="360"/>
      </w:pPr>
      <w:rPr>
        <w:rFonts w:ascii="Courier New" w:hAnsi="Courier New" w:cs="Courier New" w:hint="default"/>
      </w:rPr>
    </w:lvl>
    <w:lvl w:ilvl="8" w:tplc="440296A0">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17F1255"/>
    <w:multiLevelType w:val="hybridMultilevel"/>
    <w:tmpl w:val="268E92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978665B"/>
    <w:multiLevelType w:val="hybridMultilevel"/>
    <w:tmpl w:val="002E3A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A395EF9"/>
    <w:multiLevelType w:val="multilevel"/>
    <w:tmpl w:val="206AE238"/>
    <w:styleLink w:val="StylVcerovov14bTunVlastnbarvaRGB0"/>
    <w:lvl w:ilvl="0">
      <w:start w:val="1"/>
      <w:numFmt w:val="decimal"/>
      <w:lvlText w:val="%1"/>
      <w:lvlJc w:val="left"/>
      <w:pPr>
        <w:tabs>
          <w:tab w:val="num" w:pos="360"/>
        </w:tabs>
      </w:pPr>
      <w:rPr>
        <w:rFonts w:hint="default"/>
      </w:rPr>
    </w:lvl>
    <w:lvl w:ilvl="1">
      <w:start w:val="1"/>
      <w:numFmt w:val="decimal"/>
      <w:lvlText w:val="%1.%2"/>
      <w:lvlJc w:val="left"/>
      <w:pPr>
        <w:tabs>
          <w:tab w:val="num" w:pos="1287"/>
        </w:tabs>
        <w:ind w:left="567"/>
      </w:pPr>
      <w:rPr>
        <w:rFonts w:hint="default"/>
        <w:b/>
        <w:bCs/>
        <w:color w:val="006699"/>
        <w:kern w:val="32"/>
        <w:sz w:val="28"/>
        <w:szCs w:val="28"/>
      </w:rPr>
    </w:lvl>
    <w:lvl w:ilvl="2">
      <w:start w:val="1"/>
      <w:numFmt w:val="decimal"/>
      <w:lvlText w:val="%1.%2.%3"/>
      <w:lvlJc w:val="left"/>
      <w:pPr>
        <w:tabs>
          <w:tab w:val="num" w:pos="720"/>
        </w:tabs>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3BDB1044"/>
    <w:multiLevelType w:val="hybridMultilevel"/>
    <w:tmpl w:val="712053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D065BE9"/>
    <w:multiLevelType w:val="hybridMultilevel"/>
    <w:tmpl w:val="8FC6298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48C56FF3"/>
    <w:multiLevelType w:val="hybridMultilevel"/>
    <w:tmpl w:val="FC12FA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B6C460A"/>
    <w:multiLevelType w:val="hybridMultilevel"/>
    <w:tmpl w:val="7046AC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27F17C3"/>
    <w:multiLevelType w:val="hybridMultilevel"/>
    <w:tmpl w:val="1004CE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29A2638"/>
    <w:multiLevelType w:val="hybridMultilevel"/>
    <w:tmpl w:val="CE6CC43C"/>
    <w:lvl w:ilvl="0" w:tplc="7F8C7E6E">
      <w:numFmt w:val="bullet"/>
      <w:lvlText w:val="-"/>
      <w:lvlJc w:val="left"/>
      <w:pPr>
        <w:ind w:left="720" w:hanging="360"/>
      </w:pPr>
      <w:rPr>
        <w:rFonts w:ascii="Arial Narrow" w:eastAsia="Times New Roman" w:hAnsi="Arial Narrow"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6C47812"/>
    <w:multiLevelType w:val="hybridMultilevel"/>
    <w:tmpl w:val="5EF65C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C480310"/>
    <w:multiLevelType w:val="hybridMultilevel"/>
    <w:tmpl w:val="72E07C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D61249B"/>
    <w:multiLevelType w:val="hybridMultilevel"/>
    <w:tmpl w:val="F294B3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209420F"/>
    <w:multiLevelType w:val="hybridMultilevel"/>
    <w:tmpl w:val="A4A0150C"/>
    <w:lvl w:ilvl="0" w:tplc="FFFFFFFF">
      <w:start w:val="1"/>
      <w:numFmt w:val="decimal"/>
      <w:pStyle w:val="Aqpslovn"/>
      <w:lvlText w:val="%1."/>
      <w:lvlJc w:val="left"/>
      <w:pPr>
        <w:tabs>
          <w:tab w:val="num" w:pos="720"/>
        </w:tabs>
        <w:ind w:left="720" w:hanging="360"/>
      </w:pPr>
      <w:rPr>
        <w:rFont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64747371"/>
    <w:multiLevelType w:val="hybridMultilevel"/>
    <w:tmpl w:val="EC0662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C86C0F"/>
    <w:multiLevelType w:val="hybridMultilevel"/>
    <w:tmpl w:val="98B859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10C2A73"/>
    <w:multiLevelType w:val="hybridMultilevel"/>
    <w:tmpl w:val="CF94F6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1AA6910"/>
    <w:multiLevelType w:val="hybridMultilevel"/>
    <w:tmpl w:val="C54A64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3E910ED"/>
    <w:multiLevelType w:val="hybridMultilevel"/>
    <w:tmpl w:val="A9048C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7CE6469"/>
    <w:multiLevelType w:val="hybridMultilevel"/>
    <w:tmpl w:val="9EDE4C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C843846"/>
    <w:multiLevelType w:val="hybridMultilevel"/>
    <w:tmpl w:val="4A6A20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DD52CB5"/>
    <w:multiLevelType w:val="hybridMultilevel"/>
    <w:tmpl w:val="BDE802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20"/>
  </w:num>
  <w:num w:numId="7">
    <w:abstractNumId w:val="33"/>
  </w:num>
  <w:num w:numId="8">
    <w:abstractNumId w:val="23"/>
  </w:num>
  <w:num w:numId="9">
    <w:abstractNumId w:val="9"/>
  </w:num>
  <w:num w:numId="10">
    <w:abstractNumId w:val="29"/>
  </w:num>
  <w:num w:numId="11">
    <w:abstractNumId w:val="19"/>
  </w:num>
  <w:num w:numId="12">
    <w:abstractNumId w:val="10"/>
  </w:num>
  <w:num w:numId="13">
    <w:abstractNumId w:val="28"/>
  </w:num>
  <w:num w:numId="14">
    <w:abstractNumId w:val="16"/>
  </w:num>
  <w:num w:numId="15">
    <w:abstractNumId w:val="11"/>
  </w:num>
  <w:num w:numId="16">
    <w:abstractNumId w:val="12"/>
  </w:num>
  <w:num w:numId="17">
    <w:abstractNumId w:val="6"/>
  </w:num>
  <w:num w:numId="18">
    <w:abstractNumId w:val="13"/>
  </w:num>
  <w:num w:numId="19">
    <w:abstractNumId w:val="25"/>
  </w:num>
  <w:num w:numId="20">
    <w:abstractNumId w:val="26"/>
  </w:num>
  <w:num w:numId="21">
    <w:abstractNumId w:val="15"/>
  </w:num>
  <w:num w:numId="22">
    <w:abstractNumId w:val="7"/>
  </w:num>
  <w:num w:numId="23">
    <w:abstractNumId w:val="30"/>
  </w:num>
  <w:num w:numId="24">
    <w:abstractNumId w:val="5"/>
  </w:num>
  <w:num w:numId="25">
    <w:abstractNumId w:val="17"/>
  </w:num>
  <w:num w:numId="26">
    <w:abstractNumId w:val="32"/>
  </w:num>
  <w:num w:numId="27">
    <w:abstractNumId w:val="38"/>
  </w:num>
  <w:num w:numId="28">
    <w:abstractNumId w:val="22"/>
  </w:num>
  <w:num w:numId="29">
    <w:abstractNumId w:val="35"/>
  </w:num>
  <w:num w:numId="30">
    <w:abstractNumId w:val="21"/>
  </w:num>
  <w:num w:numId="31">
    <w:abstractNumId w:val="37"/>
  </w:num>
  <w:num w:numId="32">
    <w:abstractNumId w:val="41"/>
  </w:num>
  <w:num w:numId="33">
    <w:abstractNumId w:val="34"/>
  </w:num>
  <w:num w:numId="34">
    <w:abstractNumId w:val="31"/>
  </w:num>
  <w:num w:numId="35">
    <w:abstractNumId w:val="27"/>
  </w:num>
  <w:num w:numId="36">
    <w:abstractNumId w:val="24"/>
  </w:num>
  <w:num w:numId="37">
    <w:abstractNumId w:val="14"/>
  </w:num>
  <w:num w:numId="38">
    <w:abstractNumId w:val="39"/>
  </w:num>
  <w:num w:numId="39">
    <w:abstractNumId w:val="36"/>
  </w:num>
  <w:num w:numId="40">
    <w:abstractNumId w:val="18"/>
  </w:num>
  <w:num w:numId="41">
    <w:abstractNumId w:val="8"/>
  </w:num>
  <w:num w:numId="42">
    <w:abstractNumId w:val="4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ocumentProtection w:edit="forms" w:formatting="1" w:enforcement="0"/>
  <w:defaultTabStop w:val="709"/>
  <w:hyphenationZone w:val="425"/>
  <w:doNotHyphenateCaps/>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0A5E"/>
    <w:rsid w:val="00000558"/>
    <w:rsid w:val="000013B1"/>
    <w:rsid w:val="000014C5"/>
    <w:rsid w:val="0000192E"/>
    <w:rsid w:val="00001E60"/>
    <w:rsid w:val="000020FB"/>
    <w:rsid w:val="000039D3"/>
    <w:rsid w:val="00003F70"/>
    <w:rsid w:val="00005A74"/>
    <w:rsid w:val="000079A4"/>
    <w:rsid w:val="00007F12"/>
    <w:rsid w:val="0001195A"/>
    <w:rsid w:val="00011B46"/>
    <w:rsid w:val="0001242F"/>
    <w:rsid w:val="00015E17"/>
    <w:rsid w:val="00016EA5"/>
    <w:rsid w:val="00020214"/>
    <w:rsid w:val="00021A4A"/>
    <w:rsid w:val="000229B8"/>
    <w:rsid w:val="00024E18"/>
    <w:rsid w:val="00026944"/>
    <w:rsid w:val="00030281"/>
    <w:rsid w:val="000351B1"/>
    <w:rsid w:val="00050FA2"/>
    <w:rsid w:val="00051582"/>
    <w:rsid w:val="000529BD"/>
    <w:rsid w:val="0005305E"/>
    <w:rsid w:val="00054101"/>
    <w:rsid w:val="00060F30"/>
    <w:rsid w:val="0006587E"/>
    <w:rsid w:val="00065B6B"/>
    <w:rsid w:val="00065D39"/>
    <w:rsid w:val="000663DC"/>
    <w:rsid w:val="00066A25"/>
    <w:rsid w:val="00067044"/>
    <w:rsid w:val="000712AD"/>
    <w:rsid w:val="00077C09"/>
    <w:rsid w:val="00080147"/>
    <w:rsid w:val="00080989"/>
    <w:rsid w:val="00081666"/>
    <w:rsid w:val="000835A5"/>
    <w:rsid w:val="00085781"/>
    <w:rsid w:val="00090EDD"/>
    <w:rsid w:val="00091D0F"/>
    <w:rsid w:val="00091F06"/>
    <w:rsid w:val="0009372F"/>
    <w:rsid w:val="00095081"/>
    <w:rsid w:val="0009747A"/>
    <w:rsid w:val="000A4381"/>
    <w:rsid w:val="000B16DD"/>
    <w:rsid w:val="000B2FC4"/>
    <w:rsid w:val="000B4E6A"/>
    <w:rsid w:val="000B5998"/>
    <w:rsid w:val="000C0476"/>
    <w:rsid w:val="000C39AD"/>
    <w:rsid w:val="000C4B02"/>
    <w:rsid w:val="000C57A5"/>
    <w:rsid w:val="000C7546"/>
    <w:rsid w:val="000C7DA5"/>
    <w:rsid w:val="000D1FFA"/>
    <w:rsid w:val="000D2562"/>
    <w:rsid w:val="000D37B4"/>
    <w:rsid w:val="000D7216"/>
    <w:rsid w:val="000E5A37"/>
    <w:rsid w:val="000E6434"/>
    <w:rsid w:val="000F01A1"/>
    <w:rsid w:val="000F14C5"/>
    <w:rsid w:val="000F577D"/>
    <w:rsid w:val="000F5A64"/>
    <w:rsid w:val="00100504"/>
    <w:rsid w:val="0010179C"/>
    <w:rsid w:val="001111BB"/>
    <w:rsid w:val="0011143A"/>
    <w:rsid w:val="00112A43"/>
    <w:rsid w:val="00112AEE"/>
    <w:rsid w:val="00115D90"/>
    <w:rsid w:val="00122389"/>
    <w:rsid w:val="001337A7"/>
    <w:rsid w:val="00137409"/>
    <w:rsid w:val="00141B00"/>
    <w:rsid w:val="00143079"/>
    <w:rsid w:val="00147D93"/>
    <w:rsid w:val="00154A07"/>
    <w:rsid w:val="00155365"/>
    <w:rsid w:val="0015599C"/>
    <w:rsid w:val="00157477"/>
    <w:rsid w:val="00160A74"/>
    <w:rsid w:val="00160D40"/>
    <w:rsid w:val="00162547"/>
    <w:rsid w:val="00162F04"/>
    <w:rsid w:val="001635CD"/>
    <w:rsid w:val="00167614"/>
    <w:rsid w:val="00167FE5"/>
    <w:rsid w:val="00172639"/>
    <w:rsid w:val="00174698"/>
    <w:rsid w:val="0018005B"/>
    <w:rsid w:val="00180DF8"/>
    <w:rsid w:val="00183FCD"/>
    <w:rsid w:val="00184206"/>
    <w:rsid w:val="00184612"/>
    <w:rsid w:val="00184BD3"/>
    <w:rsid w:val="00186B39"/>
    <w:rsid w:val="001916A2"/>
    <w:rsid w:val="00193362"/>
    <w:rsid w:val="0019659D"/>
    <w:rsid w:val="00196F91"/>
    <w:rsid w:val="001A51CC"/>
    <w:rsid w:val="001A663C"/>
    <w:rsid w:val="001A7421"/>
    <w:rsid w:val="001B27E1"/>
    <w:rsid w:val="001B3719"/>
    <w:rsid w:val="001B4F9D"/>
    <w:rsid w:val="001B6086"/>
    <w:rsid w:val="001C37C7"/>
    <w:rsid w:val="001C43B8"/>
    <w:rsid w:val="001C54D5"/>
    <w:rsid w:val="001C5F6F"/>
    <w:rsid w:val="001C66CD"/>
    <w:rsid w:val="001D1D39"/>
    <w:rsid w:val="001D369C"/>
    <w:rsid w:val="001D6D6A"/>
    <w:rsid w:val="001E3125"/>
    <w:rsid w:val="001E51FF"/>
    <w:rsid w:val="001E522B"/>
    <w:rsid w:val="001E57D1"/>
    <w:rsid w:val="001E6170"/>
    <w:rsid w:val="001E6571"/>
    <w:rsid w:val="001E6C0F"/>
    <w:rsid w:val="001F190E"/>
    <w:rsid w:val="001F2D81"/>
    <w:rsid w:val="001F6CB5"/>
    <w:rsid w:val="00203CFA"/>
    <w:rsid w:val="002103B1"/>
    <w:rsid w:val="0021148F"/>
    <w:rsid w:val="0021210C"/>
    <w:rsid w:val="00214177"/>
    <w:rsid w:val="002218B0"/>
    <w:rsid w:val="002222E5"/>
    <w:rsid w:val="00225894"/>
    <w:rsid w:val="002264B0"/>
    <w:rsid w:val="002301CB"/>
    <w:rsid w:val="00233931"/>
    <w:rsid w:val="0023485F"/>
    <w:rsid w:val="00234B2E"/>
    <w:rsid w:val="00237128"/>
    <w:rsid w:val="002424E4"/>
    <w:rsid w:val="00245593"/>
    <w:rsid w:val="0024620D"/>
    <w:rsid w:val="0024694C"/>
    <w:rsid w:val="002516CB"/>
    <w:rsid w:val="002524BE"/>
    <w:rsid w:val="00254F5D"/>
    <w:rsid w:val="00262EC4"/>
    <w:rsid w:val="00267C66"/>
    <w:rsid w:val="002732C5"/>
    <w:rsid w:val="00273C1E"/>
    <w:rsid w:val="002753FD"/>
    <w:rsid w:val="00276B71"/>
    <w:rsid w:val="002804A6"/>
    <w:rsid w:val="00280DBC"/>
    <w:rsid w:val="00282136"/>
    <w:rsid w:val="00282EBB"/>
    <w:rsid w:val="00283074"/>
    <w:rsid w:val="002845C2"/>
    <w:rsid w:val="00292340"/>
    <w:rsid w:val="002924E4"/>
    <w:rsid w:val="00297C92"/>
    <w:rsid w:val="002A1B39"/>
    <w:rsid w:val="002A28CC"/>
    <w:rsid w:val="002A42F0"/>
    <w:rsid w:val="002A50F0"/>
    <w:rsid w:val="002A5F06"/>
    <w:rsid w:val="002B05C6"/>
    <w:rsid w:val="002B3066"/>
    <w:rsid w:val="002B57D4"/>
    <w:rsid w:val="002B66CC"/>
    <w:rsid w:val="002C047F"/>
    <w:rsid w:val="002C19CD"/>
    <w:rsid w:val="002C1D97"/>
    <w:rsid w:val="002C2ED5"/>
    <w:rsid w:val="002C4176"/>
    <w:rsid w:val="002C50A0"/>
    <w:rsid w:val="002C5AAC"/>
    <w:rsid w:val="002C5ECE"/>
    <w:rsid w:val="002D0192"/>
    <w:rsid w:val="002D1823"/>
    <w:rsid w:val="002D1B1B"/>
    <w:rsid w:val="002D4B05"/>
    <w:rsid w:val="002D590E"/>
    <w:rsid w:val="002E6817"/>
    <w:rsid w:val="002F0AA0"/>
    <w:rsid w:val="002F3927"/>
    <w:rsid w:val="002F59FF"/>
    <w:rsid w:val="002F7321"/>
    <w:rsid w:val="003046C9"/>
    <w:rsid w:val="00305507"/>
    <w:rsid w:val="00305ABC"/>
    <w:rsid w:val="00305CD6"/>
    <w:rsid w:val="0030632D"/>
    <w:rsid w:val="00310623"/>
    <w:rsid w:val="00311074"/>
    <w:rsid w:val="00314BE5"/>
    <w:rsid w:val="003153FA"/>
    <w:rsid w:val="003153FC"/>
    <w:rsid w:val="00321BAA"/>
    <w:rsid w:val="00325DDD"/>
    <w:rsid w:val="003264D2"/>
    <w:rsid w:val="0032771D"/>
    <w:rsid w:val="003301C6"/>
    <w:rsid w:val="00333213"/>
    <w:rsid w:val="00335244"/>
    <w:rsid w:val="00335A18"/>
    <w:rsid w:val="00346460"/>
    <w:rsid w:val="00347F90"/>
    <w:rsid w:val="003511B6"/>
    <w:rsid w:val="003515D1"/>
    <w:rsid w:val="003536B5"/>
    <w:rsid w:val="00353EDD"/>
    <w:rsid w:val="00354D65"/>
    <w:rsid w:val="00355421"/>
    <w:rsid w:val="00357D4C"/>
    <w:rsid w:val="00363D01"/>
    <w:rsid w:val="003653D1"/>
    <w:rsid w:val="0036797B"/>
    <w:rsid w:val="00373C0E"/>
    <w:rsid w:val="00373FCC"/>
    <w:rsid w:val="00376225"/>
    <w:rsid w:val="00376771"/>
    <w:rsid w:val="00377BB2"/>
    <w:rsid w:val="00377D3E"/>
    <w:rsid w:val="00377F11"/>
    <w:rsid w:val="00377F94"/>
    <w:rsid w:val="00380B64"/>
    <w:rsid w:val="00381082"/>
    <w:rsid w:val="003842F9"/>
    <w:rsid w:val="00385317"/>
    <w:rsid w:val="00385F51"/>
    <w:rsid w:val="00391C77"/>
    <w:rsid w:val="00396B1C"/>
    <w:rsid w:val="00396EFC"/>
    <w:rsid w:val="003A0706"/>
    <w:rsid w:val="003A261E"/>
    <w:rsid w:val="003A6ECD"/>
    <w:rsid w:val="003A7885"/>
    <w:rsid w:val="003B0F7C"/>
    <w:rsid w:val="003B113F"/>
    <w:rsid w:val="003B7C42"/>
    <w:rsid w:val="003C2521"/>
    <w:rsid w:val="003C5AF6"/>
    <w:rsid w:val="003D05D4"/>
    <w:rsid w:val="003D3D9C"/>
    <w:rsid w:val="003D544A"/>
    <w:rsid w:val="003E11A7"/>
    <w:rsid w:val="003E1725"/>
    <w:rsid w:val="003E177D"/>
    <w:rsid w:val="003E2565"/>
    <w:rsid w:val="003E5AB1"/>
    <w:rsid w:val="003E6433"/>
    <w:rsid w:val="003E70BD"/>
    <w:rsid w:val="003F00E0"/>
    <w:rsid w:val="003F0509"/>
    <w:rsid w:val="003F3E38"/>
    <w:rsid w:val="003F52CE"/>
    <w:rsid w:val="003F6133"/>
    <w:rsid w:val="003F7E17"/>
    <w:rsid w:val="00400A5E"/>
    <w:rsid w:val="00400BD2"/>
    <w:rsid w:val="00402EB6"/>
    <w:rsid w:val="00412D2D"/>
    <w:rsid w:val="0041630C"/>
    <w:rsid w:val="00416E78"/>
    <w:rsid w:val="0041711D"/>
    <w:rsid w:val="00417BBB"/>
    <w:rsid w:val="00420E47"/>
    <w:rsid w:val="004211A6"/>
    <w:rsid w:val="00421535"/>
    <w:rsid w:val="00422916"/>
    <w:rsid w:val="0042381C"/>
    <w:rsid w:val="00423AA0"/>
    <w:rsid w:val="00424CB1"/>
    <w:rsid w:val="00430123"/>
    <w:rsid w:val="00434948"/>
    <w:rsid w:val="0044023A"/>
    <w:rsid w:val="00441A1D"/>
    <w:rsid w:val="00442A7A"/>
    <w:rsid w:val="00445BF8"/>
    <w:rsid w:val="00446203"/>
    <w:rsid w:val="0044763E"/>
    <w:rsid w:val="00452A2C"/>
    <w:rsid w:val="0045596C"/>
    <w:rsid w:val="00455BA1"/>
    <w:rsid w:val="00461028"/>
    <w:rsid w:val="0046155E"/>
    <w:rsid w:val="00465C36"/>
    <w:rsid w:val="0046625A"/>
    <w:rsid w:val="00466B42"/>
    <w:rsid w:val="0047009A"/>
    <w:rsid w:val="0047041F"/>
    <w:rsid w:val="00472AB1"/>
    <w:rsid w:val="0047390E"/>
    <w:rsid w:val="00475C94"/>
    <w:rsid w:val="00483E04"/>
    <w:rsid w:val="00483FB0"/>
    <w:rsid w:val="004850BD"/>
    <w:rsid w:val="00487286"/>
    <w:rsid w:val="004908B2"/>
    <w:rsid w:val="0049404F"/>
    <w:rsid w:val="00496438"/>
    <w:rsid w:val="004978EF"/>
    <w:rsid w:val="004A37AE"/>
    <w:rsid w:val="004B29B8"/>
    <w:rsid w:val="004B5019"/>
    <w:rsid w:val="004C0FEB"/>
    <w:rsid w:val="004C3115"/>
    <w:rsid w:val="004C3BFE"/>
    <w:rsid w:val="004C56AF"/>
    <w:rsid w:val="004D2703"/>
    <w:rsid w:val="004D6099"/>
    <w:rsid w:val="004E5F8D"/>
    <w:rsid w:val="004E7A7F"/>
    <w:rsid w:val="004F1367"/>
    <w:rsid w:val="004F3CF0"/>
    <w:rsid w:val="004F3CFA"/>
    <w:rsid w:val="004F5EBA"/>
    <w:rsid w:val="004F743D"/>
    <w:rsid w:val="00500866"/>
    <w:rsid w:val="00500F8E"/>
    <w:rsid w:val="00500FB6"/>
    <w:rsid w:val="00503B79"/>
    <w:rsid w:val="00504541"/>
    <w:rsid w:val="0052531B"/>
    <w:rsid w:val="0053255F"/>
    <w:rsid w:val="00532E78"/>
    <w:rsid w:val="005331B8"/>
    <w:rsid w:val="0053340E"/>
    <w:rsid w:val="00533C8E"/>
    <w:rsid w:val="00536AAD"/>
    <w:rsid w:val="00536BE1"/>
    <w:rsid w:val="005372B1"/>
    <w:rsid w:val="0053773E"/>
    <w:rsid w:val="005401D9"/>
    <w:rsid w:val="00540AEC"/>
    <w:rsid w:val="00541272"/>
    <w:rsid w:val="00550ABE"/>
    <w:rsid w:val="00551E29"/>
    <w:rsid w:val="00553A09"/>
    <w:rsid w:val="00557A74"/>
    <w:rsid w:val="00557CC3"/>
    <w:rsid w:val="00557EAA"/>
    <w:rsid w:val="0056065C"/>
    <w:rsid w:val="00561C86"/>
    <w:rsid w:val="00566035"/>
    <w:rsid w:val="005676C1"/>
    <w:rsid w:val="005717FB"/>
    <w:rsid w:val="0057276A"/>
    <w:rsid w:val="00573D9C"/>
    <w:rsid w:val="00574180"/>
    <w:rsid w:val="00576657"/>
    <w:rsid w:val="00584052"/>
    <w:rsid w:val="00585AAD"/>
    <w:rsid w:val="00591C57"/>
    <w:rsid w:val="00592EA0"/>
    <w:rsid w:val="00593656"/>
    <w:rsid w:val="00593809"/>
    <w:rsid w:val="00593FBB"/>
    <w:rsid w:val="005963E5"/>
    <w:rsid w:val="005967E8"/>
    <w:rsid w:val="005971B7"/>
    <w:rsid w:val="00597C86"/>
    <w:rsid w:val="005A4033"/>
    <w:rsid w:val="005A5433"/>
    <w:rsid w:val="005B0B44"/>
    <w:rsid w:val="005B148D"/>
    <w:rsid w:val="005B2972"/>
    <w:rsid w:val="005B3E3C"/>
    <w:rsid w:val="005B3F93"/>
    <w:rsid w:val="005B5685"/>
    <w:rsid w:val="005B5B15"/>
    <w:rsid w:val="005B5B56"/>
    <w:rsid w:val="005B5D6B"/>
    <w:rsid w:val="005C033E"/>
    <w:rsid w:val="005C12D4"/>
    <w:rsid w:val="005C2888"/>
    <w:rsid w:val="005C7082"/>
    <w:rsid w:val="005D1225"/>
    <w:rsid w:val="005D3125"/>
    <w:rsid w:val="005D48FF"/>
    <w:rsid w:val="005E1FD8"/>
    <w:rsid w:val="005E3AD0"/>
    <w:rsid w:val="005E52A6"/>
    <w:rsid w:val="005E627D"/>
    <w:rsid w:val="005E63BB"/>
    <w:rsid w:val="005F19FD"/>
    <w:rsid w:val="005F6F59"/>
    <w:rsid w:val="005F7046"/>
    <w:rsid w:val="0060091F"/>
    <w:rsid w:val="00603370"/>
    <w:rsid w:val="00603C2E"/>
    <w:rsid w:val="00604537"/>
    <w:rsid w:val="00605AE4"/>
    <w:rsid w:val="0060685D"/>
    <w:rsid w:val="00612199"/>
    <w:rsid w:val="00612644"/>
    <w:rsid w:val="00613861"/>
    <w:rsid w:val="00613D64"/>
    <w:rsid w:val="006148C7"/>
    <w:rsid w:val="00616FF2"/>
    <w:rsid w:val="00617F5A"/>
    <w:rsid w:val="00620E33"/>
    <w:rsid w:val="006218F6"/>
    <w:rsid w:val="006246E7"/>
    <w:rsid w:val="00626BD8"/>
    <w:rsid w:val="00633FC3"/>
    <w:rsid w:val="00646BBF"/>
    <w:rsid w:val="006507E3"/>
    <w:rsid w:val="00653807"/>
    <w:rsid w:val="00663CD8"/>
    <w:rsid w:val="00664605"/>
    <w:rsid w:val="006646AD"/>
    <w:rsid w:val="00675A1F"/>
    <w:rsid w:val="00675AD3"/>
    <w:rsid w:val="00681063"/>
    <w:rsid w:val="00681523"/>
    <w:rsid w:val="00682A59"/>
    <w:rsid w:val="006835A5"/>
    <w:rsid w:val="006854F0"/>
    <w:rsid w:val="00685FA5"/>
    <w:rsid w:val="00686CC7"/>
    <w:rsid w:val="00690DBE"/>
    <w:rsid w:val="00691DC2"/>
    <w:rsid w:val="006965C9"/>
    <w:rsid w:val="006A0A99"/>
    <w:rsid w:val="006A1AED"/>
    <w:rsid w:val="006A6699"/>
    <w:rsid w:val="006A6DA7"/>
    <w:rsid w:val="006B0D94"/>
    <w:rsid w:val="006B147B"/>
    <w:rsid w:val="006B1E14"/>
    <w:rsid w:val="006B2C4F"/>
    <w:rsid w:val="006B52B1"/>
    <w:rsid w:val="006B6093"/>
    <w:rsid w:val="006B6A6F"/>
    <w:rsid w:val="006C02FB"/>
    <w:rsid w:val="006C0F1F"/>
    <w:rsid w:val="006C120D"/>
    <w:rsid w:val="006C47BA"/>
    <w:rsid w:val="006C501E"/>
    <w:rsid w:val="006C6704"/>
    <w:rsid w:val="006D09A7"/>
    <w:rsid w:val="006D4126"/>
    <w:rsid w:val="006D7709"/>
    <w:rsid w:val="006E0326"/>
    <w:rsid w:val="006E1C07"/>
    <w:rsid w:val="006E1D96"/>
    <w:rsid w:val="006F06A1"/>
    <w:rsid w:val="006F0C3E"/>
    <w:rsid w:val="006F2676"/>
    <w:rsid w:val="006F2BCB"/>
    <w:rsid w:val="006F3C02"/>
    <w:rsid w:val="006F6753"/>
    <w:rsid w:val="006F6923"/>
    <w:rsid w:val="00700B91"/>
    <w:rsid w:val="007026C4"/>
    <w:rsid w:val="00702B53"/>
    <w:rsid w:val="00703687"/>
    <w:rsid w:val="007051B4"/>
    <w:rsid w:val="00705D68"/>
    <w:rsid w:val="007079C9"/>
    <w:rsid w:val="00710A9E"/>
    <w:rsid w:val="00710D62"/>
    <w:rsid w:val="00713467"/>
    <w:rsid w:val="007177DB"/>
    <w:rsid w:val="0072145A"/>
    <w:rsid w:val="00726270"/>
    <w:rsid w:val="007303F2"/>
    <w:rsid w:val="00732BC0"/>
    <w:rsid w:val="007339A0"/>
    <w:rsid w:val="00733E39"/>
    <w:rsid w:val="00734DAC"/>
    <w:rsid w:val="00736722"/>
    <w:rsid w:val="00736C1C"/>
    <w:rsid w:val="007378C8"/>
    <w:rsid w:val="00743A15"/>
    <w:rsid w:val="00745551"/>
    <w:rsid w:val="00753F28"/>
    <w:rsid w:val="00762E57"/>
    <w:rsid w:val="0077156B"/>
    <w:rsid w:val="0077170E"/>
    <w:rsid w:val="00772CEB"/>
    <w:rsid w:val="00774674"/>
    <w:rsid w:val="007746AE"/>
    <w:rsid w:val="007822AC"/>
    <w:rsid w:val="00785155"/>
    <w:rsid w:val="00786362"/>
    <w:rsid w:val="00786A50"/>
    <w:rsid w:val="00787C59"/>
    <w:rsid w:val="00790918"/>
    <w:rsid w:val="00790C42"/>
    <w:rsid w:val="00792788"/>
    <w:rsid w:val="0079453B"/>
    <w:rsid w:val="00796EC9"/>
    <w:rsid w:val="007A1729"/>
    <w:rsid w:val="007A23BF"/>
    <w:rsid w:val="007A402C"/>
    <w:rsid w:val="007A4704"/>
    <w:rsid w:val="007A58D3"/>
    <w:rsid w:val="007A739F"/>
    <w:rsid w:val="007B0020"/>
    <w:rsid w:val="007B0620"/>
    <w:rsid w:val="007B12F4"/>
    <w:rsid w:val="007B286B"/>
    <w:rsid w:val="007C30E9"/>
    <w:rsid w:val="007C4720"/>
    <w:rsid w:val="007C4DF1"/>
    <w:rsid w:val="007C603A"/>
    <w:rsid w:val="007C7726"/>
    <w:rsid w:val="007D0900"/>
    <w:rsid w:val="007D34AB"/>
    <w:rsid w:val="007D3B17"/>
    <w:rsid w:val="007D408A"/>
    <w:rsid w:val="007D5413"/>
    <w:rsid w:val="007E06E1"/>
    <w:rsid w:val="007E1A44"/>
    <w:rsid w:val="007E34ED"/>
    <w:rsid w:val="007E38A8"/>
    <w:rsid w:val="007E5A44"/>
    <w:rsid w:val="007E6F08"/>
    <w:rsid w:val="007F0F3E"/>
    <w:rsid w:val="007F4E46"/>
    <w:rsid w:val="007F61A4"/>
    <w:rsid w:val="007F644D"/>
    <w:rsid w:val="007F6507"/>
    <w:rsid w:val="0080292F"/>
    <w:rsid w:val="00802B62"/>
    <w:rsid w:val="008056F2"/>
    <w:rsid w:val="00807739"/>
    <w:rsid w:val="008128D8"/>
    <w:rsid w:val="00815F7C"/>
    <w:rsid w:val="00816613"/>
    <w:rsid w:val="0081718A"/>
    <w:rsid w:val="00823912"/>
    <w:rsid w:val="008325A4"/>
    <w:rsid w:val="008328BB"/>
    <w:rsid w:val="008330E3"/>
    <w:rsid w:val="00833BD3"/>
    <w:rsid w:val="00835FE7"/>
    <w:rsid w:val="0084241A"/>
    <w:rsid w:val="0084580D"/>
    <w:rsid w:val="00847011"/>
    <w:rsid w:val="00851327"/>
    <w:rsid w:val="008524AF"/>
    <w:rsid w:val="008555A4"/>
    <w:rsid w:val="00860A36"/>
    <w:rsid w:val="00860ACC"/>
    <w:rsid w:val="008623A7"/>
    <w:rsid w:val="008639D6"/>
    <w:rsid w:val="00864F57"/>
    <w:rsid w:val="008705BA"/>
    <w:rsid w:val="00873487"/>
    <w:rsid w:val="00873F1F"/>
    <w:rsid w:val="00874BD0"/>
    <w:rsid w:val="00875705"/>
    <w:rsid w:val="008839A0"/>
    <w:rsid w:val="00884801"/>
    <w:rsid w:val="00885335"/>
    <w:rsid w:val="0089037F"/>
    <w:rsid w:val="0089187B"/>
    <w:rsid w:val="008922DA"/>
    <w:rsid w:val="008934BB"/>
    <w:rsid w:val="008947D3"/>
    <w:rsid w:val="008962E7"/>
    <w:rsid w:val="0089718F"/>
    <w:rsid w:val="008A00F5"/>
    <w:rsid w:val="008A16F8"/>
    <w:rsid w:val="008A2A4C"/>
    <w:rsid w:val="008A65D2"/>
    <w:rsid w:val="008B0FC3"/>
    <w:rsid w:val="008B2948"/>
    <w:rsid w:val="008B5871"/>
    <w:rsid w:val="008B5EF9"/>
    <w:rsid w:val="008C1DBE"/>
    <w:rsid w:val="008C30EC"/>
    <w:rsid w:val="008C6649"/>
    <w:rsid w:val="008C7D44"/>
    <w:rsid w:val="008D0C3D"/>
    <w:rsid w:val="008D31EA"/>
    <w:rsid w:val="008D4180"/>
    <w:rsid w:val="008D4BCD"/>
    <w:rsid w:val="008D69A8"/>
    <w:rsid w:val="008D7F48"/>
    <w:rsid w:val="008E1D15"/>
    <w:rsid w:val="008E39A6"/>
    <w:rsid w:val="008E70A8"/>
    <w:rsid w:val="008F0DE2"/>
    <w:rsid w:val="008F10E2"/>
    <w:rsid w:val="008F264F"/>
    <w:rsid w:val="008F2BC4"/>
    <w:rsid w:val="008F4A86"/>
    <w:rsid w:val="008F71A3"/>
    <w:rsid w:val="00900161"/>
    <w:rsid w:val="009023DD"/>
    <w:rsid w:val="00902B47"/>
    <w:rsid w:val="00902C61"/>
    <w:rsid w:val="009036F9"/>
    <w:rsid w:val="0090503D"/>
    <w:rsid w:val="00906F8B"/>
    <w:rsid w:val="00910F39"/>
    <w:rsid w:val="009142FD"/>
    <w:rsid w:val="0091669A"/>
    <w:rsid w:val="00920A04"/>
    <w:rsid w:val="00923132"/>
    <w:rsid w:val="00924293"/>
    <w:rsid w:val="0092593D"/>
    <w:rsid w:val="00926447"/>
    <w:rsid w:val="00927AEE"/>
    <w:rsid w:val="00930E13"/>
    <w:rsid w:val="009347EE"/>
    <w:rsid w:val="00935761"/>
    <w:rsid w:val="009371EB"/>
    <w:rsid w:val="00937966"/>
    <w:rsid w:val="00940495"/>
    <w:rsid w:val="009474E5"/>
    <w:rsid w:val="00947A1D"/>
    <w:rsid w:val="00947B62"/>
    <w:rsid w:val="00950B5D"/>
    <w:rsid w:val="00952DBA"/>
    <w:rsid w:val="0095445A"/>
    <w:rsid w:val="0095707F"/>
    <w:rsid w:val="00963A47"/>
    <w:rsid w:val="00964980"/>
    <w:rsid w:val="009707DF"/>
    <w:rsid w:val="009723E7"/>
    <w:rsid w:val="00972968"/>
    <w:rsid w:val="00973244"/>
    <w:rsid w:val="00973FC8"/>
    <w:rsid w:val="00975DA7"/>
    <w:rsid w:val="00983A70"/>
    <w:rsid w:val="00983AFB"/>
    <w:rsid w:val="009846A4"/>
    <w:rsid w:val="00987167"/>
    <w:rsid w:val="009875DC"/>
    <w:rsid w:val="00990FA7"/>
    <w:rsid w:val="00991D0A"/>
    <w:rsid w:val="00992281"/>
    <w:rsid w:val="009929FF"/>
    <w:rsid w:val="009942C2"/>
    <w:rsid w:val="009948BA"/>
    <w:rsid w:val="00997DC1"/>
    <w:rsid w:val="009A131B"/>
    <w:rsid w:val="009A1623"/>
    <w:rsid w:val="009A394F"/>
    <w:rsid w:val="009A5F6A"/>
    <w:rsid w:val="009B0F53"/>
    <w:rsid w:val="009B141A"/>
    <w:rsid w:val="009B3787"/>
    <w:rsid w:val="009C0597"/>
    <w:rsid w:val="009C074F"/>
    <w:rsid w:val="009C1C4B"/>
    <w:rsid w:val="009C2411"/>
    <w:rsid w:val="009C369A"/>
    <w:rsid w:val="009C370F"/>
    <w:rsid w:val="009C3F98"/>
    <w:rsid w:val="009C70FF"/>
    <w:rsid w:val="009C7991"/>
    <w:rsid w:val="009D4E2C"/>
    <w:rsid w:val="009E0261"/>
    <w:rsid w:val="009E1CBB"/>
    <w:rsid w:val="009E44A8"/>
    <w:rsid w:val="009E4F42"/>
    <w:rsid w:val="009E56A2"/>
    <w:rsid w:val="009E6697"/>
    <w:rsid w:val="009E7121"/>
    <w:rsid w:val="009F3635"/>
    <w:rsid w:val="009F3886"/>
    <w:rsid w:val="009F6E6C"/>
    <w:rsid w:val="009F7E07"/>
    <w:rsid w:val="00A00CD3"/>
    <w:rsid w:val="00A00E1D"/>
    <w:rsid w:val="00A052D5"/>
    <w:rsid w:val="00A06B6A"/>
    <w:rsid w:val="00A06FBA"/>
    <w:rsid w:val="00A0747D"/>
    <w:rsid w:val="00A07857"/>
    <w:rsid w:val="00A134DE"/>
    <w:rsid w:val="00A17222"/>
    <w:rsid w:val="00A17DB2"/>
    <w:rsid w:val="00A20F99"/>
    <w:rsid w:val="00A24C26"/>
    <w:rsid w:val="00A24F12"/>
    <w:rsid w:val="00A26CA2"/>
    <w:rsid w:val="00A30D78"/>
    <w:rsid w:val="00A3725D"/>
    <w:rsid w:val="00A37FBF"/>
    <w:rsid w:val="00A4045D"/>
    <w:rsid w:val="00A4113B"/>
    <w:rsid w:val="00A42609"/>
    <w:rsid w:val="00A42709"/>
    <w:rsid w:val="00A43326"/>
    <w:rsid w:val="00A43A9C"/>
    <w:rsid w:val="00A44828"/>
    <w:rsid w:val="00A46568"/>
    <w:rsid w:val="00A52E82"/>
    <w:rsid w:val="00A54525"/>
    <w:rsid w:val="00A55732"/>
    <w:rsid w:val="00A600AE"/>
    <w:rsid w:val="00A607ED"/>
    <w:rsid w:val="00A60BDB"/>
    <w:rsid w:val="00A61D34"/>
    <w:rsid w:val="00A641C9"/>
    <w:rsid w:val="00A661B5"/>
    <w:rsid w:val="00A66AD1"/>
    <w:rsid w:val="00A66FB0"/>
    <w:rsid w:val="00A673CD"/>
    <w:rsid w:val="00A77059"/>
    <w:rsid w:val="00A81E4B"/>
    <w:rsid w:val="00A87DD4"/>
    <w:rsid w:val="00A92FA1"/>
    <w:rsid w:val="00A94057"/>
    <w:rsid w:val="00A94593"/>
    <w:rsid w:val="00A945E7"/>
    <w:rsid w:val="00A96536"/>
    <w:rsid w:val="00AA220F"/>
    <w:rsid w:val="00AA4982"/>
    <w:rsid w:val="00AB1713"/>
    <w:rsid w:val="00AB24AC"/>
    <w:rsid w:val="00AB5D12"/>
    <w:rsid w:val="00AC08F6"/>
    <w:rsid w:val="00AC1D29"/>
    <w:rsid w:val="00AC227A"/>
    <w:rsid w:val="00AC3AD2"/>
    <w:rsid w:val="00AC3D46"/>
    <w:rsid w:val="00AC524B"/>
    <w:rsid w:val="00AC5A4E"/>
    <w:rsid w:val="00AD215C"/>
    <w:rsid w:val="00AD2E91"/>
    <w:rsid w:val="00AD3171"/>
    <w:rsid w:val="00AD4F50"/>
    <w:rsid w:val="00AD5B9F"/>
    <w:rsid w:val="00AE2C31"/>
    <w:rsid w:val="00AE4B6D"/>
    <w:rsid w:val="00AE5265"/>
    <w:rsid w:val="00AE5BEC"/>
    <w:rsid w:val="00AF447C"/>
    <w:rsid w:val="00AF47B2"/>
    <w:rsid w:val="00B00037"/>
    <w:rsid w:val="00B02697"/>
    <w:rsid w:val="00B0374C"/>
    <w:rsid w:val="00B044D7"/>
    <w:rsid w:val="00B05604"/>
    <w:rsid w:val="00B05DD3"/>
    <w:rsid w:val="00B11DBC"/>
    <w:rsid w:val="00B17E00"/>
    <w:rsid w:val="00B20513"/>
    <w:rsid w:val="00B21071"/>
    <w:rsid w:val="00B211D5"/>
    <w:rsid w:val="00B21213"/>
    <w:rsid w:val="00B2506B"/>
    <w:rsid w:val="00B25B05"/>
    <w:rsid w:val="00B30250"/>
    <w:rsid w:val="00B31C78"/>
    <w:rsid w:val="00B32D52"/>
    <w:rsid w:val="00B339E7"/>
    <w:rsid w:val="00B34CED"/>
    <w:rsid w:val="00B454F1"/>
    <w:rsid w:val="00B45915"/>
    <w:rsid w:val="00B5019C"/>
    <w:rsid w:val="00B543E2"/>
    <w:rsid w:val="00B54831"/>
    <w:rsid w:val="00B56367"/>
    <w:rsid w:val="00B56AA0"/>
    <w:rsid w:val="00B62952"/>
    <w:rsid w:val="00B6302C"/>
    <w:rsid w:val="00B63256"/>
    <w:rsid w:val="00B66264"/>
    <w:rsid w:val="00B666E5"/>
    <w:rsid w:val="00B70102"/>
    <w:rsid w:val="00B70264"/>
    <w:rsid w:val="00B70277"/>
    <w:rsid w:val="00B712E3"/>
    <w:rsid w:val="00B718F3"/>
    <w:rsid w:val="00B73BB1"/>
    <w:rsid w:val="00B763D3"/>
    <w:rsid w:val="00B8024C"/>
    <w:rsid w:val="00B81204"/>
    <w:rsid w:val="00B8460E"/>
    <w:rsid w:val="00B854C3"/>
    <w:rsid w:val="00B862A1"/>
    <w:rsid w:val="00B91710"/>
    <w:rsid w:val="00B926D8"/>
    <w:rsid w:val="00B92F29"/>
    <w:rsid w:val="00BA0217"/>
    <w:rsid w:val="00BA4547"/>
    <w:rsid w:val="00BA79D9"/>
    <w:rsid w:val="00BB23FE"/>
    <w:rsid w:val="00BB6A25"/>
    <w:rsid w:val="00BC02EC"/>
    <w:rsid w:val="00BC1CC7"/>
    <w:rsid w:val="00BC2544"/>
    <w:rsid w:val="00BC25AE"/>
    <w:rsid w:val="00BC2E0E"/>
    <w:rsid w:val="00BC4170"/>
    <w:rsid w:val="00BC5D51"/>
    <w:rsid w:val="00BC5F1C"/>
    <w:rsid w:val="00BD0361"/>
    <w:rsid w:val="00BD2CBF"/>
    <w:rsid w:val="00BD6661"/>
    <w:rsid w:val="00BE173A"/>
    <w:rsid w:val="00BE3732"/>
    <w:rsid w:val="00BE4265"/>
    <w:rsid w:val="00BE5315"/>
    <w:rsid w:val="00BE605C"/>
    <w:rsid w:val="00BE7449"/>
    <w:rsid w:val="00BF4701"/>
    <w:rsid w:val="00BF4BD3"/>
    <w:rsid w:val="00BF6F4E"/>
    <w:rsid w:val="00BF7A90"/>
    <w:rsid w:val="00C00BA7"/>
    <w:rsid w:val="00C01487"/>
    <w:rsid w:val="00C064EB"/>
    <w:rsid w:val="00C10260"/>
    <w:rsid w:val="00C113BA"/>
    <w:rsid w:val="00C125F0"/>
    <w:rsid w:val="00C128FF"/>
    <w:rsid w:val="00C14AE2"/>
    <w:rsid w:val="00C15B46"/>
    <w:rsid w:val="00C20144"/>
    <w:rsid w:val="00C21558"/>
    <w:rsid w:val="00C266F5"/>
    <w:rsid w:val="00C30C4C"/>
    <w:rsid w:val="00C310FA"/>
    <w:rsid w:val="00C31211"/>
    <w:rsid w:val="00C320DB"/>
    <w:rsid w:val="00C33B62"/>
    <w:rsid w:val="00C37125"/>
    <w:rsid w:val="00C37944"/>
    <w:rsid w:val="00C411E4"/>
    <w:rsid w:val="00C42275"/>
    <w:rsid w:val="00C4601C"/>
    <w:rsid w:val="00C46297"/>
    <w:rsid w:val="00C50182"/>
    <w:rsid w:val="00C52BA6"/>
    <w:rsid w:val="00C540F2"/>
    <w:rsid w:val="00C56658"/>
    <w:rsid w:val="00C60BE4"/>
    <w:rsid w:val="00C639C0"/>
    <w:rsid w:val="00C65E2B"/>
    <w:rsid w:val="00C717A8"/>
    <w:rsid w:val="00C71A94"/>
    <w:rsid w:val="00C71E43"/>
    <w:rsid w:val="00C7264B"/>
    <w:rsid w:val="00C77C0A"/>
    <w:rsid w:val="00C82A52"/>
    <w:rsid w:val="00C839AF"/>
    <w:rsid w:val="00C839EC"/>
    <w:rsid w:val="00C858AF"/>
    <w:rsid w:val="00C85E8C"/>
    <w:rsid w:val="00C866EB"/>
    <w:rsid w:val="00C87686"/>
    <w:rsid w:val="00C92540"/>
    <w:rsid w:val="00CA21B0"/>
    <w:rsid w:val="00CA6FE3"/>
    <w:rsid w:val="00CB0836"/>
    <w:rsid w:val="00CB327C"/>
    <w:rsid w:val="00CB7BBD"/>
    <w:rsid w:val="00CC549F"/>
    <w:rsid w:val="00CC6725"/>
    <w:rsid w:val="00CC6F8A"/>
    <w:rsid w:val="00CD1305"/>
    <w:rsid w:val="00CD26F3"/>
    <w:rsid w:val="00CD3C9F"/>
    <w:rsid w:val="00CD4354"/>
    <w:rsid w:val="00CD5AD0"/>
    <w:rsid w:val="00CD7B30"/>
    <w:rsid w:val="00CE1751"/>
    <w:rsid w:val="00CE2702"/>
    <w:rsid w:val="00CE2992"/>
    <w:rsid w:val="00CF1653"/>
    <w:rsid w:val="00CF2B3A"/>
    <w:rsid w:val="00CF3B1F"/>
    <w:rsid w:val="00CF52D0"/>
    <w:rsid w:val="00D01CC6"/>
    <w:rsid w:val="00D0459C"/>
    <w:rsid w:val="00D10BF6"/>
    <w:rsid w:val="00D112EF"/>
    <w:rsid w:val="00D12D70"/>
    <w:rsid w:val="00D1319A"/>
    <w:rsid w:val="00D1401E"/>
    <w:rsid w:val="00D16501"/>
    <w:rsid w:val="00D16734"/>
    <w:rsid w:val="00D171E3"/>
    <w:rsid w:val="00D20C3E"/>
    <w:rsid w:val="00D21078"/>
    <w:rsid w:val="00D21412"/>
    <w:rsid w:val="00D23828"/>
    <w:rsid w:val="00D270B6"/>
    <w:rsid w:val="00D272AF"/>
    <w:rsid w:val="00D30C73"/>
    <w:rsid w:val="00D30C90"/>
    <w:rsid w:val="00D33CD3"/>
    <w:rsid w:val="00D3582B"/>
    <w:rsid w:val="00D35BC9"/>
    <w:rsid w:val="00D4141C"/>
    <w:rsid w:val="00D46E27"/>
    <w:rsid w:val="00D471A3"/>
    <w:rsid w:val="00D47B2F"/>
    <w:rsid w:val="00D5387B"/>
    <w:rsid w:val="00D53AD8"/>
    <w:rsid w:val="00D54C65"/>
    <w:rsid w:val="00D5554F"/>
    <w:rsid w:val="00D571A4"/>
    <w:rsid w:val="00D575BE"/>
    <w:rsid w:val="00D6070A"/>
    <w:rsid w:val="00D6183A"/>
    <w:rsid w:val="00D61F0F"/>
    <w:rsid w:val="00D61F2D"/>
    <w:rsid w:val="00D65702"/>
    <w:rsid w:val="00D66AE9"/>
    <w:rsid w:val="00D741AB"/>
    <w:rsid w:val="00D758AE"/>
    <w:rsid w:val="00D76E62"/>
    <w:rsid w:val="00D80075"/>
    <w:rsid w:val="00D830D9"/>
    <w:rsid w:val="00D839FE"/>
    <w:rsid w:val="00D874A2"/>
    <w:rsid w:val="00D875B6"/>
    <w:rsid w:val="00D913DB"/>
    <w:rsid w:val="00D956CA"/>
    <w:rsid w:val="00D97BEE"/>
    <w:rsid w:val="00D97E41"/>
    <w:rsid w:val="00DA3751"/>
    <w:rsid w:val="00DA4C7E"/>
    <w:rsid w:val="00DA5C65"/>
    <w:rsid w:val="00DA6863"/>
    <w:rsid w:val="00DA69DA"/>
    <w:rsid w:val="00DB0170"/>
    <w:rsid w:val="00DB37F9"/>
    <w:rsid w:val="00DB4C2A"/>
    <w:rsid w:val="00DB6327"/>
    <w:rsid w:val="00DB6466"/>
    <w:rsid w:val="00DC1A64"/>
    <w:rsid w:val="00DC2374"/>
    <w:rsid w:val="00DC42EA"/>
    <w:rsid w:val="00DC489F"/>
    <w:rsid w:val="00DC69AF"/>
    <w:rsid w:val="00DC71C9"/>
    <w:rsid w:val="00DC7307"/>
    <w:rsid w:val="00DD02B2"/>
    <w:rsid w:val="00DD1F10"/>
    <w:rsid w:val="00DD34DF"/>
    <w:rsid w:val="00DD4A2C"/>
    <w:rsid w:val="00DD5C90"/>
    <w:rsid w:val="00DE340A"/>
    <w:rsid w:val="00DE39B9"/>
    <w:rsid w:val="00DE727B"/>
    <w:rsid w:val="00DE7304"/>
    <w:rsid w:val="00DE79A3"/>
    <w:rsid w:val="00DE7BEE"/>
    <w:rsid w:val="00DF1B8F"/>
    <w:rsid w:val="00DF4EA8"/>
    <w:rsid w:val="00E043AB"/>
    <w:rsid w:val="00E10D49"/>
    <w:rsid w:val="00E1158E"/>
    <w:rsid w:val="00E11DD9"/>
    <w:rsid w:val="00E12876"/>
    <w:rsid w:val="00E15283"/>
    <w:rsid w:val="00E16967"/>
    <w:rsid w:val="00E17DCE"/>
    <w:rsid w:val="00E24AD3"/>
    <w:rsid w:val="00E30C10"/>
    <w:rsid w:val="00E31558"/>
    <w:rsid w:val="00E34F90"/>
    <w:rsid w:val="00E35088"/>
    <w:rsid w:val="00E35C03"/>
    <w:rsid w:val="00E37C61"/>
    <w:rsid w:val="00E40F21"/>
    <w:rsid w:val="00E462C1"/>
    <w:rsid w:val="00E55B8E"/>
    <w:rsid w:val="00E55E15"/>
    <w:rsid w:val="00E57156"/>
    <w:rsid w:val="00E57A92"/>
    <w:rsid w:val="00E602C9"/>
    <w:rsid w:val="00E65DC7"/>
    <w:rsid w:val="00E70311"/>
    <w:rsid w:val="00E741A5"/>
    <w:rsid w:val="00E7564F"/>
    <w:rsid w:val="00E80B22"/>
    <w:rsid w:val="00E81A13"/>
    <w:rsid w:val="00E850A8"/>
    <w:rsid w:val="00E934BC"/>
    <w:rsid w:val="00E93C10"/>
    <w:rsid w:val="00E94FBB"/>
    <w:rsid w:val="00EA04CB"/>
    <w:rsid w:val="00EA0C05"/>
    <w:rsid w:val="00EA38C7"/>
    <w:rsid w:val="00EA43D6"/>
    <w:rsid w:val="00EA5CA8"/>
    <w:rsid w:val="00EA6E02"/>
    <w:rsid w:val="00EA7C54"/>
    <w:rsid w:val="00EB1609"/>
    <w:rsid w:val="00EB506A"/>
    <w:rsid w:val="00EB6D64"/>
    <w:rsid w:val="00EC0C06"/>
    <w:rsid w:val="00EC177C"/>
    <w:rsid w:val="00EC4AFE"/>
    <w:rsid w:val="00EC587F"/>
    <w:rsid w:val="00EC6B7C"/>
    <w:rsid w:val="00ED2374"/>
    <w:rsid w:val="00ED2AB1"/>
    <w:rsid w:val="00ED3EA8"/>
    <w:rsid w:val="00ED4574"/>
    <w:rsid w:val="00EE2273"/>
    <w:rsid w:val="00EE3B82"/>
    <w:rsid w:val="00EE41A6"/>
    <w:rsid w:val="00EE5E73"/>
    <w:rsid w:val="00EE61B3"/>
    <w:rsid w:val="00EE775C"/>
    <w:rsid w:val="00EE7AF7"/>
    <w:rsid w:val="00EF3CB8"/>
    <w:rsid w:val="00EF5879"/>
    <w:rsid w:val="00EF63B2"/>
    <w:rsid w:val="00EF6443"/>
    <w:rsid w:val="00F0530E"/>
    <w:rsid w:val="00F06D77"/>
    <w:rsid w:val="00F100A7"/>
    <w:rsid w:val="00F1042E"/>
    <w:rsid w:val="00F111A4"/>
    <w:rsid w:val="00F1536D"/>
    <w:rsid w:val="00F17F4E"/>
    <w:rsid w:val="00F21F99"/>
    <w:rsid w:val="00F24B87"/>
    <w:rsid w:val="00F279FE"/>
    <w:rsid w:val="00F339CA"/>
    <w:rsid w:val="00F35CC0"/>
    <w:rsid w:val="00F364FD"/>
    <w:rsid w:val="00F4004C"/>
    <w:rsid w:val="00F412BB"/>
    <w:rsid w:val="00F443B4"/>
    <w:rsid w:val="00F51A2E"/>
    <w:rsid w:val="00F53C10"/>
    <w:rsid w:val="00F6138D"/>
    <w:rsid w:val="00F64454"/>
    <w:rsid w:val="00F6721C"/>
    <w:rsid w:val="00F72AE8"/>
    <w:rsid w:val="00F73B63"/>
    <w:rsid w:val="00F76BFB"/>
    <w:rsid w:val="00F77A72"/>
    <w:rsid w:val="00F80F97"/>
    <w:rsid w:val="00F81752"/>
    <w:rsid w:val="00F826BA"/>
    <w:rsid w:val="00F82C51"/>
    <w:rsid w:val="00F83DE5"/>
    <w:rsid w:val="00F84320"/>
    <w:rsid w:val="00F86803"/>
    <w:rsid w:val="00F87F63"/>
    <w:rsid w:val="00F95507"/>
    <w:rsid w:val="00F95665"/>
    <w:rsid w:val="00F977D8"/>
    <w:rsid w:val="00FA1FE7"/>
    <w:rsid w:val="00FA2D34"/>
    <w:rsid w:val="00FA441F"/>
    <w:rsid w:val="00FA49F4"/>
    <w:rsid w:val="00FA5D04"/>
    <w:rsid w:val="00FA6ADE"/>
    <w:rsid w:val="00FA773B"/>
    <w:rsid w:val="00FB1F1F"/>
    <w:rsid w:val="00FB2543"/>
    <w:rsid w:val="00FB29BE"/>
    <w:rsid w:val="00FB2E87"/>
    <w:rsid w:val="00FB527E"/>
    <w:rsid w:val="00FB5674"/>
    <w:rsid w:val="00FB5DAB"/>
    <w:rsid w:val="00FC131E"/>
    <w:rsid w:val="00FD1227"/>
    <w:rsid w:val="00FD3387"/>
    <w:rsid w:val="00FD424F"/>
    <w:rsid w:val="00FD4348"/>
    <w:rsid w:val="00FD48F4"/>
    <w:rsid w:val="00FD4C0A"/>
    <w:rsid w:val="00FD5360"/>
    <w:rsid w:val="00FE242C"/>
    <w:rsid w:val="00FE5E73"/>
    <w:rsid w:val="00FF11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3FE3FF4"/>
  <w15:docId w15:val="{771B98EE-26F7-487E-B925-3C020AA24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0F21"/>
    <w:pPr>
      <w:spacing w:line="300" w:lineRule="auto"/>
    </w:pPr>
    <w:rPr>
      <w:rFonts w:ascii="Arial Narrow" w:hAnsi="Arial Narrow" w:cs="Arial"/>
      <w:sz w:val="22"/>
    </w:rPr>
  </w:style>
  <w:style w:type="paragraph" w:styleId="Nadpis1">
    <w:name w:val="heading 1"/>
    <w:basedOn w:val="Normln"/>
    <w:next w:val="AqpText"/>
    <w:link w:val="Nadpis1Char"/>
    <w:uiPriority w:val="99"/>
    <w:qFormat/>
    <w:rsid w:val="006F6753"/>
    <w:pPr>
      <w:keepNext/>
      <w:numPr>
        <w:numId w:val="9"/>
      </w:numPr>
      <w:spacing w:before="360" w:after="120"/>
      <w:outlineLvl w:val="0"/>
    </w:pPr>
    <w:rPr>
      <w:b/>
      <w:bCs/>
      <w:caps/>
      <w:kern w:val="32"/>
      <w:sz w:val="28"/>
      <w:szCs w:val="28"/>
    </w:rPr>
  </w:style>
  <w:style w:type="paragraph" w:styleId="Nadpis2">
    <w:name w:val="heading 2"/>
    <w:basedOn w:val="Normln"/>
    <w:next w:val="AqpText"/>
    <w:link w:val="Nadpis2Char"/>
    <w:uiPriority w:val="99"/>
    <w:qFormat/>
    <w:rsid w:val="0030632D"/>
    <w:pPr>
      <w:keepNext/>
      <w:numPr>
        <w:ilvl w:val="1"/>
        <w:numId w:val="9"/>
      </w:numPr>
      <w:spacing w:before="360" w:after="60"/>
      <w:outlineLvl w:val="1"/>
    </w:pPr>
    <w:rPr>
      <w:b/>
      <w:bCs/>
      <w:caps/>
      <w:sz w:val="24"/>
    </w:rPr>
  </w:style>
  <w:style w:type="paragraph" w:styleId="Nadpis3">
    <w:name w:val="heading 3"/>
    <w:basedOn w:val="Normln"/>
    <w:next w:val="AqpText"/>
    <w:link w:val="Nadpis3Char"/>
    <w:uiPriority w:val="99"/>
    <w:qFormat/>
    <w:rsid w:val="000F14C5"/>
    <w:pPr>
      <w:keepNext/>
      <w:numPr>
        <w:ilvl w:val="2"/>
        <w:numId w:val="9"/>
      </w:numPr>
      <w:spacing w:before="360" w:after="60"/>
      <w:outlineLvl w:val="2"/>
    </w:pPr>
    <w:rPr>
      <w:b/>
      <w:bCs/>
    </w:rPr>
  </w:style>
  <w:style w:type="paragraph" w:styleId="Nadpis4">
    <w:name w:val="heading 4"/>
    <w:basedOn w:val="Normln"/>
    <w:next w:val="AqpText"/>
    <w:link w:val="Nadpis4Char"/>
    <w:uiPriority w:val="99"/>
    <w:qFormat/>
    <w:rsid w:val="000F14C5"/>
    <w:pPr>
      <w:keepNext/>
      <w:numPr>
        <w:ilvl w:val="3"/>
        <w:numId w:val="9"/>
      </w:numPr>
      <w:spacing w:before="240" w:after="60"/>
      <w:outlineLvl w:val="3"/>
    </w:pPr>
    <w:rPr>
      <w:b/>
      <w:bCs/>
      <w:spacing w:val="20"/>
    </w:rPr>
  </w:style>
  <w:style w:type="paragraph" w:styleId="Nadpis5">
    <w:name w:val="heading 5"/>
    <w:basedOn w:val="Normln"/>
    <w:next w:val="AqpText"/>
    <w:link w:val="Nadpis5Char"/>
    <w:uiPriority w:val="99"/>
    <w:qFormat/>
    <w:rsid w:val="000F14C5"/>
    <w:pPr>
      <w:keepNext/>
      <w:numPr>
        <w:ilvl w:val="4"/>
        <w:numId w:val="9"/>
      </w:numPr>
      <w:spacing w:before="180" w:after="60"/>
      <w:outlineLvl w:val="4"/>
    </w:pPr>
    <w:rPr>
      <w:spacing w:val="20"/>
    </w:rPr>
  </w:style>
  <w:style w:type="paragraph" w:styleId="Nadpis6">
    <w:name w:val="heading 6"/>
    <w:basedOn w:val="Normln"/>
    <w:next w:val="AqpText"/>
    <w:link w:val="Nadpis6Char"/>
    <w:uiPriority w:val="99"/>
    <w:qFormat/>
    <w:rsid w:val="000F14C5"/>
    <w:pPr>
      <w:keepNext/>
      <w:numPr>
        <w:ilvl w:val="5"/>
        <w:numId w:val="9"/>
      </w:numPr>
      <w:spacing w:before="180" w:after="60"/>
      <w:outlineLvl w:val="5"/>
    </w:pPr>
  </w:style>
  <w:style w:type="paragraph" w:styleId="Nadpis7">
    <w:name w:val="heading 7"/>
    <w:basedOn w:val="Normln"/>
    <w:next w:val="AqpText"/>
    <w:link w:val="Nadpis7Char"/>
    <w:uiPriority w:val="99"/>
    <w:qFormat/>
    <w:rsid w:val="000F14C5"/>
    <w:pPr>
      <w:keepNext/>
      <w:numPr>
        <w:ilvl w:val="6"/>
        <w:numId w:val="9"/>
      </w:numPr>
      <w:spacing w:before="180" w:after="60"/>
      <w:outlineLvl w:val="6"/>
    </w:pPr>
    <w:rPr>
      <w:i/>
      <w:iCs/>
    </w:rPr>
  </w:style>
  <w:style w:type="paragraph" w:styleId="Nadpis8">
    <w:name w:val="heading 8"/>
    <w:basedOn w:val="Normln"/>
    <w:next w:val="Normln"/>
    <w:link w:val="Nadpis8Char"/>
    <w:uiPriority w:val="99"/>
    <w:qFormat/>
    <w:rsid w:val="000F14C5"/>
    <w:pPr>
      <w:numPr>
        <w:ilvl w:val="7"/>
        <w:numId w:val="9"/>
      </w:numPr>
      <w:spacing w:before="240" w:after="60"/>
      <w:outlineLvl w:val="7"/>
    </w:pPr>
    <w:rPr>
      <w:i/>
      <w:iCs/>
    </w:rPr>
  </w:style>
  <w:style w:type="paragraph" w:styleId="Nadpis9">
    <w:name w:val="heading 9"/>
    <w:basedOn w:val="Normln"/>
    <w:next w:val="Normln"/>
    <w:link w:val="Nadpis9Char"/>
    <w:uiPriority w:val="99"/>
    <w:qFormat/>
    <w:rsid w:val="000F14C5"/>
    <w:pPr>
      <w:numPr>
        <w:ilvl w:val="8"/>
        <w:numId w:val="9"/>
      </w:numPr>
      <w:spacing w:before="240" w:after="60"/>
      <w:outlineLvl w:val="8"/>
    </w:pPr>
    <w:rPr>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9"/>
    <w:locked/>
    <w:rsid w:val="0046625A"/>
    <w:rPr>
      <w:rFonts w:ascii="Cambria" w:hAnsi="Cambria" w:cs="Cambria"/>
      <w:b/>
      <w:bCs/>
      <w:kern w:val="32"/>
      <w:sz w:val="32"/>
      <w:szCs w:val="32"/>
    </w:rPr>
  </w:style>
  <w:style w:type="character" w:customStyle="1" w:styleId="Nadpis2Char">
    <w:name w:val="Nadpis 2 Char"/>
    <w:basedOn w:val="Standardnpsmoodstavce"/>
    <w:link w:val="Nadpis2"/>
    <w:uiPriority w:val="99"/>
    <w:locked/>
    <w:rsid w:val="0030632D"/>
    <w:rPr>
      <w:rFonts w:ascii="Arial Narrow" w:hAnsi="Arial Narrow" w:cs="Arial"/>
      <w:b/>
      <w:bCs/>
      <w:caps/>
      <w:sz w:val="24"/>
    </w:rPr>
  </w:style>
  <w:style w:type="character" w:customStyle="1" w:styleId="Nadpis3Char">
    <w:name w:val="Nadpis 3 Char"/>
    <w:basedOn w:val="Standardnpsmoodstavce"/>
    <w:link w:val="Nadpis3"/>
    <w:uiPriority w:val="99"/>
    <w:locked/>
    <w:rsid w:val="000F14C5"/>
    <w:rPr>
      <w:rFonts w:ascii="Arial" w:hAnsi="Arial" w:cs="Arial"/>
      <w:b/>
      <w:bCs/>
    </w:rPr>
  </w:style>
  <w:style w:type="character" w:customStyle="1" w:styleId="Nadpis4Char">
    <w:name w:val="Nadpis 4 Char"/>
    <w:basedOn w:val="Standardnpsmoodstavce"/>
    <w:link w:val="Nadpis4"/>
    <w:uiPriority w:val="99"/>
    <w:locked/>
    <w:rsid w:val="000F14C5"/>
    <w:rPr>
      <w:rFonts w:ascii="Arial" w:hAnsi="Arial" w:cs="Arial"/>
      <w:b/>
      <w:bCs/>
      <w:spacing w:val="20"/>
    </w:rPr>
  </w:style>
  <w:style w:type="character" w:customStyle="1" w:styleId="Nadpis5Char">
    <w:name w:val="Nadpis 5 Char"/>
    <w:basedOn w:val="Standardnpsmoodstavce"/>
    <w:link w:val="Nadpis5"/>
    <w:uiPriority w:val="99"/>
    <w:locked/>
    <w:rsid w:val="000F14C5"/>
    <w:rPr>
      <w:rFonts w:ascii="Arial" w:hAnsi="Arial" w:cs="Arial"/>
      <w:spacing w:val="20"/>
    </w:rPr>
  </w:style>
  <w:style w:type="character" w:customStyle="1" w:styleId="Nadpis6Char">
    <w:name w:val="Nadpis 6 Char"/>
    <w:basedOn w:val="Standardnpsmoodstavce"/>
    <w:link w:val="Nadpis6"/>
    <w:uiPriority w:val="99"/>
    <w:locked/>
    <w:rsid w:val="000F14C5"/>
    <w:rPr>
      <w:rFonts w:ascii="Arial" w:hAnsi="Arial" w:cs="Arial"/>
    </w:rPr>
  </w:style>
  <w:style w:type="character" w:customStyle="1" w:styleId="Nadpis7Char">
    <w:name w:val="Nadpis 7 Char"/>
    <w:basedOn w:val="Standardnpsmoodstavce"/>
    <w:link w:val="Nadpis7"/>
    <w:uiPriority w:val="99"/>
    <w:locked/>
    <w:rsid w:val="000F14C5"/>
    <w:rPr>
      <w:rFonts w:ascii="Arial" w:hAnsi="Arial" w:cs="Arial"/>
      <w:i/>
      <w:iCs/>
    </w:rPr>
  </w:style>
  <w:style w:type="character" w:customStyle="1" w:styleId="Nadpis8Char">
    <w:name w:val="Nadpis 8 Char"/>
    <w:basedOn w:val="Standardnpsmoodstavce"/>
    <w:link w:val="Nadpis8"/>
    <w:uiPriority w:val="99"/>
    <w:locked/>
    <w:rsid w:val="000F14C5"/>
    <w:rPr>
      <w:rFonts w:ascii="Arial" w:hAnsi="Arial" w:cs="Arial"/>
      <w:i/>
      <w:iCs/>
    </w:rPr>
  </w:style>
  <w:style w:type="character" w:customStyle="1" w:styleId="Nadpis9Char">
    <w:name w:val="Nadpis 9 Char"/>
    <w:basedOn w:val="Standardnpsmoodstavce"/>
    <w:link w:val="Nadpis9"/>
    <w:uiPriority w:val="99"/>
    <w:locked/>
    <w:rsid w:val="000F14C5"/>
    <w:rPr>
      <w:rFonts w:ascii="Arial" w:hAnsi="Arial" w:cs="Arial"/>
      <w:sz w:val="22"/>
      <w:szCs w:val="22"/>
    </w:rPr>
  </w:style>
  <w:style w:type="character" w:customStyle="1" w:styleId="Nadpis1Char">
    <w:name w:val="Nadpis 1 Char"/>
    <w:basedOn w:val="Standardnpsmoodstavce"/>
    <w:link w:val="Nadpis1"/>
    <w:uiPriority w:val="99"/>
    <w:locked/>
    <w:rsid w:val="006F6753"/>
    <w:rPr>
      <w:rFonts w:ascii="Arial" w:hAnsi="Arial" w:cs="Arial"/>
      <w:b/>
      <w:bCs/>
      <w:caps/>
      <w:kern w:val="32"/>
      <w:sz w:val="28"/>
      <w:szCs w:val="28"/>
    </w:rPr>
  </w:style>
  <w:style w:type="paragraph" w:customStyle="1" w:styleId="AqpText">
    <w:name w:val="AqpText"/>
    <w:basedOn w:val="Normln"/>
    <w:link w:val="AqpTextChar2"/>
    <w:uiPriority w:val="99"/>
    <w:rsid w:val="006B0D94"/>
    <w:pPr>
      <w:spacing w:before="120"/>
      <w:jc w:val="both"/>
    </w:pPr>
  </w:style>
  <w:style w:type="character" w:customStyle="1" w:styleId="AqpTextChar2">
    <w:name w:val="AqpText Char2"/>
    <w:basedOn w:val="Standardnpsmoodstavce"/>
    <w:link w:val="AqpText"/>
    <w:uiPriority w:val="99"/>
    <w:locked/>
    <w:rsid w:val="006B0D94"/>
    <w:rPr>
      <w:rFonts w:ascii="Arial" w:hAnsi="Arial" w:cs="Arial"/>
      <w:sz w:val="24"/>
      <w:szCs w:val="24"/>
      <w:lang w:val="cs-CZ" w:eastAsia="cs-CZ"/>
    </w:rPr>
  </w:style>
  <w:style w:type="paragraph" w:customStyle="1" w:styleId="AqpNadpisTab">
    <w:name w:val="AqpNadpisTab"/>
    <w:basedOn w:val="Normln"/>
    <w:next w:val="AqpText"/>
    <w:link w:val="AqpNadpisTabChar"/>
    <w:uiPriority w:val="99"/>
    <w:rsid w:val="00987167"/>
    <w:pPr>
      <w:keepNext/>
      <w:spacing w:before="240" w:after="60"/>
    </w:pPr>
    <w:rPr>
      <w:b/>
      <w:bCs/>
    </w:rPr>
  </w:style>
  <w:style w:type="character" w:customStyle="1" w:styleId="AqpNadpisTabChar">
    <w:name w:val="AqpNadpisTab Char"/>
    <w:basedOn w:val="Standardnpsmoodstavce"/>
    <w:link w:val="AqpNadpisTab"/>
    <w:uiPriority w:val="99"/>
    <w:locked/>
    <w:rsid w:val="00D4141C"/>
    <w:rPr>
      <w:rFonts w:ascii="Arial" w:hAnsi="Arial" w:cs="Arial"/>
      <w:b/>
      <w:bCs/>
      <w:lang w:val="cs-CZ" w:eastAsia="cs-CZ"/>
    </w:rPr>
  </w:style>
  <w:style w:type="paragraph" w:styleId="Zhlav">
    <w:name w:val="header"/>
    <w:basedOn w:val="Normln"/>
    <w:link w:val="ZhlavChar"/>
    <w:uiPriority w:val="99"/>
    <w:rsid w:val="0044023A"/>
    <w:pPr>
      <w:tabs>
        <w:tab w:val="right" w:pos="8505"/>
      </w:tabs>
    </w:pPr>
    <w:rPr>
      <w:sz w:val="18"/>
      <w:szCs w:val="18"/>
    </w:rPr>
  </w:style>
  <w:style w:type="character" w:customStyle="1" w:styleId="ZhlavChar">
    <w:name w:val="Záhlaví Char"/>
    <w:basedOn w:val="Standardnpsmoodstavce"/>
    <w:link w:val="Zhlav"/>
    <w:uiPriority w:val="99"/>
    <w:semiHidden/>
    <w:locked/>
    <w:rsid w:val="00ED4574"/>
    <w:rPr>
      <w:rFonts w:ascii="Arial" w:hAnsi="Arial" w:cs="Arial"/>
      <w:sz w:val="20"/>
      <w:szCs w:val="20"/>
    </w:rPr>
  </w:style>
  <w:style w:type="paragraph" w:styleId="Zpat">
    <w:name w:val="footer"/>
    <w:basedOn w:val="Normln"/>
    <w:link w:val="ZpatChar"/>
    <w:uiPriority w:val="99"/>
    <w:rsid w:val="00E30C10"/>
    <w:pPr>
      <w:tabs>
        <w:tab w:val="right" w:pos="8505"/>
      </w:tabs>
    </w:pPr>
    <w:rPr>
      <w:sz w:val="18"/>
      <w:szCs w:val="18"/>
    </w:rPr>
  </w:style>
  <w:style w:type="character" w:customStyle="1" w:styleId="ZpatChar">
    <w:name w:val="Zápatí Char"/>
    <w:basedOn w:val="Standardnpsmoodstavce"/>
    <w:link w:val="Zpat"/>
    <w:uiPriority w:val="99"/>
    <w:semiHidden/>
    <w:locked/>
    <w:rsid w:val="00ED4574"/>
    <w:rPr>
      <w:rFonts w:ascii="Arial" w:hAnsi="Arial" w:cs="Arial"/>
      <w:sz w:val="20"/>
      <w:szCs w:val="20"/>
    </w:rPr>
  </w:style>
  <w:style w:type="paragraph" w:styleId="Rozloendokumentu">
    <w:name w:val="Document Map"/>
    <w:basedOn w:val="Normln"/>
    <w:link w:val="RozloendokumentuChar"/>
    <w:uiPriority w:val="99"/>
    <w:semiHidden/>
    <w:rsid w:val="00987167"/>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D4574"/>
    <w:rPr>
      <w:rFonts w:cs="Times New Roman"/>
      <w:sz w:val="2"/>
      <w:szCs w:val="2"/>
    </w:rPr>
  </w:style>
  <w:style w:type="paragraph" w:customStyle="1" w:styleId="AqpLegenda">
    <w:name w:val="AqpLegenda"/>
    <w:basedOn w:val="Normln"/>
    <w:uiPriority w:val="99"/>
    <w:rsid w:val="005B5685"/>
    <w:pPr>
      <w:tabs>
        <w:tab w:val="left" w:pos="357"/>
      </w:tabs>
      <w:spacing w:before="60"/>
      <w:ind w:left="357" w:hanging="357"/>
    </w:pPr>
  </w:style>
  <w:style w:type="paragraph" w:customStyle="1" w:styleId="AqpTabulka">
    <w:name w:val="AqpTabulka"/>
    <w:basedOn w:val="Normln"/>
    <w:uiPriority w:val="99"/>
    <w:rsid w:val="006B0D94"/>
    <w:pPr>
      <w:keepLines/>
      <w:spacing w:before="20" w:after="20"/>
    </w:pPr>
  </w:style>
  <w:style w:type="character" w:customStyle="1" w:styleId="AqpKurziva">
    <w:name w:val="AqpKurziva"/>
    <w:basedOn w:val="Standardnpsmoodstavce"/>
    <w:uiPriority w:val="99"/>
    <w:rsid w:val="003B113F"/>
    <w:rPr>
      <w:rFonts w:cs="Times New Roman"/>
      <w:i/>
      <w:iCs/>
    </w:rPr>
  </w:style>
  <w:style w:type="character" w:customStyle="1" w:styleId="AqpTuKurz">
    <w:name w:val="AqpTučKurz"/>
    <w:basedOn w:val="Standardnpsmoodstavce"/>
    <w:uiPriority w:val="99"/>
    <w:rsid w:val="003B113F"/>
    <w:rPr>
      <w:rFonts w:cs="Times New Roman"/>
      <w:b/>
      <w:bCs/>
      <w:i/>
      <w:iCs/>
      <w:u w:val="none"/>
    </w:rPr>
  </w:style>
  <w:style w:type="paragraph" w:customStyle="1" w:styleId="AqpNadpis7">
    <w:name w:val="AqpNadpis7"/>
    <w:basedOn w:val="Normln"/>
    <w:next w:val="AqpText"/>
    <w:uiPriority w:val="99"/>
    <w:rsid w:val="00987167"/>
    <w:pPr>
      <w:keepNext/>
      <w:spacing w:before="180" w:after="60"/>
      <w:outlineLvl w:val="6"/>
    </w:pPr>
    <w:rPr>
      <w:i/>
      <w:iCs/>
    </w:rPr>
  </w:style>
  <w:style w:type="paragraph" w:customStyle="1" w:styleId="AqpPodnadpis">
    <w:name w:val="AqpPodnadpis"/>
    <w:basedOn w:val="Normln"/>
    <w:next w:val="AqpText"/>
    <w:uiPriority w:val="99"/>
    <w:rsid w:val="00990FA7"/>
    <w:pPr>
      <w:keepNext/>
      <w:spacing w:before="240" w:after="60"/>
      <w:outlineLvl w:val="1"/>
    </w:pPr>
    <w:rPr>
      <w:b/>
      <w:bCs/>
    </w:rPr>
  </w:style>
  <w:style w:type="paragraph" w:styleId="Obsah6">
    <w:name w:val="toc 6"/>
    <w:basedOn w:val="Normln"/>
    <w:next w:val="Normln"/>
    <w:autoRedefine/>
    <w:uiPriority w:val="99"/>
    <w:semiHidden/>
    <w:rsid w:val="00987167"/>
    <w:pPr>
      <w:ind w:left="737"/>
    </w:pPr>
  </w:style>
  <w:style w:type="paragraph" w:styleId="Textbubliny">
    <w:name w:val="Balloon Text"/>
    <w:basedOn w:val="Normln"/>
    <w:link w:val="TextbublinyChar"/>
    <w:uiPriority w:val="99"/>
    <w:semiHidden/>
    <w:rsid w:val="0098716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D4574"/>
    <w:rPr>
      <w:rFonts w:cs="Times New Roman"/>
      <w:sz w:val="2"/>
      <w:szCs w:val="2"/>
    </w:rPr>
  </w:style>
  <w:style w:type="paragraph" w:styleId="Obsah1">
    <w:name w:val="toc 1"/>
    <w:basedOn w:val="Normln"/>
    <w:next w:val="Normln"/>
    <w:autoRedefine/>
    <w:uiPriority w:val="39"/>
    <w:rsid w:val="00077C09"/>
    <w:pPr>
      <w:spacing w:before="240" w:after="120"/>
      <w:ind w:left="567" w:hanging="567"/>
    </w:pPr>
    <w:rPr>
      <w:b/>
      <w:bCs/>
      <w:color w:val="006699"/>
    </w:rPr>
  </w:style>
  <w:style w:type="paragraph" w:styleId="Obsah2">
    <w:name w:val="toc 2"/>
    <w:basedOn w:val="Normln"/>
    <w:next w:val="Normln"/>
    <w:autoRedefine/>
    <w:uiPriority w:val="39"/>
    <w:rsid w:val="00786362"/>
    <w:pPr>
      <w:tabs>
        <w:tab w:val="left" w:pos="851"/>
        <w:tab w:val="right" w:leader="dot" w:pos="9627"/>
      </w:tabs>
      <w:spacing w:before="120"/>
      <w:ind w:left="340"/>
    </w:pPr>
    <w:rPr>
      <w:noProof/>
    </w:rPr>
  </w:style>
  <w:style w:type="paragraph" w:styleId="Obsah3">
    <w:name w:val="toc 3"/>
    <w:basedOn w:val="Normln"/>
    <w:next w:val="Normln"/>
    <w:autoRedefine/>
    <w:uiPriority w:val="39"/>
    <w:rsid w:val="00786362"/>
    <w:pPr>
      <w:spacing w:before="60"/>
      <w:ind w:left="567"/>
    </w:pPr>
  </w:style>
  <w:style w:type="character" w:styleId="Hypertextovodkaz">
    <w:name w:val="Hyperlink"/>
    <w:basedOn w:val="Standardnpsmoodstavce"/>
    <w:uiPriority w:val="99"/>
    <w:rsid w:val="00987167"/>
    <w:rPr>
      <w:rFonts w:cs="Times New Roman"/>
      <w:color w:val="0000FF"/>
      <w:u w:val="single"/>
    </w:rPr>
  </w:style>
  <w:style w:type="paragraph" w:styleId="Obsah4">
    <w:name w:val="toc 4"/>
    <w:basedOn w:val="Normln"/>
    <w:next w:val="Normln"/>
    <w:autoRedefine/>
    <w:uiPriority w:val="99"/>
    <w:semiHidden/>
    <w:rsid w:val="00987167"/>
    <w:pPr>
      <w:spacing w:before="20"/>
      <w:ind w:left="680"/>
    </w:pPr>
    <w:rPr>
      <w:rFonts w:cs="Arial Narrow"/>
    </w:rPr>
  </w:style>
  <w:style w:type="paragraph" w:styleId="Obsah5">
    <w:name w:val="toc 5"/>
    <w:basedOn w:val="Normln"/>
    <w:next w:val="Normln"/>
    <w:autoRedefine/>
    <w:uiPriority w:val="99"/>
    <w:semiHidden/>
    <w:rsid w:val="00987167"/>
    <w:pPr>
      <w:ind w:left="709"/>
    </w:pPr>
  </w:style>
  <w:style w:type="paragraph" w:styleId="Rejstk1">
    <w:name w:val="index 1"/>
    <w:basedOn w:val="Normln"/>
    <w:next w:val="Normln"/>
    <w:autoRedefine/>
    <w:uiPriority w:val="99"/>
    <w:semiHidden/>
    <w:rsid w:val="00987167"/>
    <w:pPr>
      <w:ind w:left="240" w:hanging="240"/>
    </w:pPr>
  </w:style>
  <w:style w:type="paragraph" w:styleId="Obsah7">
    <w:name w:val="toc 7"/>
    <w:basedOn w:val="Normln"/>
    <w:next w:val="Normln"/>
    <w:autoRedefine/>
    <w:uiPriority w:val="99"/>
    <w:semiHidden/>
    <w:rsid w:val="00987167"/>
    <w:pPr>
      <w:ind w:left="1440"/>
    </w:pPr>
  </w:style>
  <w:style w:type="paragraph" w:styleId="Obsah8">
    <w:name w:val="toc 8"/>
    <w:basedOn w:val="Normln"/>
    <w:next w:val="Normln"/>
    <w:autoRedefine/>
    <w:uiPriority w:val="99"/>
    <w:semiHidden/>
    <w:rsid w:val="00987167"/>
    <w:pPr>
      <w:ind w:left="1680"/>
    </w:pPr>
  </w:style>
  <w:style w:type="paragraph" w:styleId="Obsah9">
    <w:name w:val="toc 9"/>
    <w:basedOn w:val="Normln"/>
    <w:next w:val="Normln"/>
    <w:autoRedefine/>
    <w:uiPriority w:val="99"/>
    <w:semiHidden/>
    <w:rsid w:val="00987167"/>
    <w:pPr>
      <w:ind w:left="1920"/>
    </w:pPr>
  </w:style>
  <w:style w:type="paragraph" w:styleId="FormtovanvHTML">
    <w:name w:val="HTML Preformatted"/>
    <w:basedOn w:val="Normln"/>
    <w:link w:val="FormtovanvHTMLChar"/>
    <w:uiPriority w:val="99"/>
    <w:rsid w:val="00987167"/>
    <w:rPr>
      <w:rFonts w:ascii="Courier New" w:hAnsi="Courier New" w:cs="Courier New"/>
    </w:rPr>
  </w:style>
  <w:style w:type="character" w:customStyle="1" w:styleId="FormtovanvHTMLChar">
    <w:name w:val="Formátovaný v HTML Char"/>
    <w:basedOn w:val="Standardnpsmoodstavce"/>
    <w:link w:val="FormtovanvHTML"/>
    <w:uiPriority w:val="99"/>
    <w:semiHidden/>
    <w:locked/>
    <w:rsid w:val="00ED4574"/>
    <w:rPr>
      <w:rFonts w:ascii="Courier New" w:hAnsi="Courier New" w:cs="Courier New"/>
      <w:sz w:val="20"/>
      <w:szCs w:val="20"/>
    </w:rPr>
  </w:style>
  <w:style w:type="paragraph" w:styleId="Hlavikaobsahu">
    <w:name w:val="toa heading"/>
    <w:basedOn w:val="Normln"/>
    <w:next w:val="Normln"/>
    <w:uiPriority w:val="99"/>
    <w:semiHidden/>
    <w:rsid w:val="00987167"/>
    <w:pPr>
      <w:spacing w:before="120"/>
    </w:pPr>
    <w:rPr>
      <w:b/>
      <w:bCs/>
    </w:rPr>
  </w:style>
  <w:style w:type="paragraph" w:styleId="Hlavikarejstku">
    <w:name w:val="index heading"/>
    <w:basedOn w:val="Normln"/>
    <w:next w:val="Rejstk1"/>
    <w:uiPriority w:val="99"/>
    <w:semiHidden/>
    <w:rsid w:val="00987167"/>
    <w:rPr>
      <w:b/>
      <w:bCs/>
    </w:rPr>
  </w:style>
  <w:style w:type="paragraph" w:styleId="Nadpispoznmky">
    <w:name w:val="Note Heading"/>
    <w:basedOn w:val="Normln"/>
    <w:next w:val="Normln"/>
    <w:link w:val="NadpispoznmkyChar"/>
    <w:uiPriority w:val="99"/>
    <w:rsid w:val="00987167"/>
  </w:style>
  <w:style w:type="character" w:customStyle="1" w:styleId="NadpispoznmkyChar">
    <w:name w:val="Nadpis poznámky Char"/>
    <w:basedOn w:val="Standardnpsmoodstavce"/>
    <w:link w:val="Nadpispoznmky"/>
    <w:uiPriority w:val="99"/>
    <w:semiHidden/>
    <w:locked/>
    <w:rsid w:val="00ED4574"/>
    <w:rPr>
      <w:rFonts w:ascii="Arial" w:hAnsi="Arial" w:cs="Arial"/>
      <w:sz w:val="20"/>
      <w:szCs w:val="20"/>
    </w:rPr>
  </w:style>
  <w:style w:type="paragraph" w:styleId="Nzev">
    <w:name w:val="Title"/>
    <w:basedOn w:val="Normln"/>
    <w:link w:val="NzevChar"/>
    <w:uiPriority w:val="99"/>
    <w:qFormat/>
    <w:rsid w:val="00987167"/>
    <w:pPr>
      <w:spacing w:before="240" w:after="60"/>
      <w:jc w:val="center"/>
      <w:outlineLvl w:val="0"/>
    </w:pPr>
    <w:rPr>
      <w:b/>
      <w:bCs/>
      <w:kern w:val="28"/>
      <w:sz w:val="32"/>
      <w:szCs w:val="32"/>
    </w:rPr>
  </w:style>
  <w:style w:type="character" w:customStyle="1" w:styleId="NzevChar">
    <w:name w:val="Název Char"/>
    <w:basedOn w:val="Standardnpsmoodstavce"/>
    <w:link w:val="Nzev"/>
    <w:uiPriority w:val="99"/>
    <w:locked/>
    <w:rsid w:val="00ED4574"/>
    <w:rPr>
      <w:rFonts w:ascii="Cambria" w:hAnsi="Cambria" w:cs="Cambria"/>
      <w:b/>
      <w:bCs/>
      <w:kern w:val="28"/>
      <w:sz w:val="32"/>
      <w:szCs w:val="32"/>
    </w:rPr>
  </w:style>
  <w:style w:type="paragraph" w:styleId="Normlnweb">
    <w:name w:val="Normal (Web)"/>
    <w:basedOn w:val="Normln"/>
    <w:uiPriority w:val="99"/>
    <w:rsid w:val="00987167"/>
  </w:style>
  <w:style w:type="paragraph" w:styleId="Osloven">
    <w:name w:val="Salutation"/>
    <w:basedOn w:val="Normln"/>
    <w:next w:val="Normln"/>
    <w:link w:val="OslovenChar"/>
    <w:uiPriority w:val="99"/>
    <w:rsid w:val="00987167"/>
  </w:style>
  <w:style w:type="character" w:customStyle="1" w:styleId="OslovenChar">
    <w:name w:val="Oslovení Char"/>
    <w:basedOn w:val="Standardnpsmoodstavce"/>
    <w:link w:val="Osloven"/>
    <w:uiPriority w:val="99"/>
    <w:semiHidden/>
    <w:locked/>
    <w:rsid w:val="00ED4574"/>
    <w:rPr>
      <w:rFonts w:ascii="Arial" w:hAnsi="Arial" w:cs="Arial"/>
      <w:sz w:val="20"/>
      <w:szCs w:val="20"/>
    </w:rPr>
  </w:style>
  <w:style w:type="paragraph" w:styleId="Podpis">
    <w:name w:val="Signature"/>
    <w:basedOn w:val="Normln"/>
    <w:link w:val="PodpisChar"/>
    <w:uiPriority w:val="99"/>
    <w:rsid w:val="00987167"/>
    <w:pPr>
      <w:ind w:left="4252"/>
    </w:pPr>
  </w:style>
  <w:style w:type="character" w:customStyle="1" w:styleId="PodpisChar">
    <w:name w:val="Podpis Char"/>
    <w:basedOn w:val="Standardnpsmoodstavce"/>
    <w:link w:val="Podpis"/>
    <w:uiPriority w:val="99"/>
    <w:semiHidden/>
    <w:locked/>
    <w:rsid w:val="00ED4574"/>
    <w:rPr>
      <w:rFonts w:ascii="Arial" w:hAnsi="Arial" w:cs="Arial"/>
      <w:sz w:val="20"/>
      <w:szCs w:val="20"/>
    </w:rPr>
  </w:style>
  <w:style w:type="paragraph" w:styleId="Podpise-mailu">
    <w:name w:val="E-mail Signature"/>
    <w:basedOn w:val="Normln"/>
    <w:link w:val="Podpise-mailuChar"/>
    <w:uiPriority w:val="99"/>
    <w:rsid w:val="00987167"/>
  </w:style>
  <w:style w:type="character" w:customStyle="1" w:styleId="Podpise-mailuChar">
    <w:name w:val="Podpis e-mailu Char"/>
    <w:basedOn w:val="Standardnpsmoodstavce"/>
    <w:link w:val="Podpise-mailu"/>
    <w:uiPriority w:val="99"/>
    <w:semiHidden/>
    <w:locked/>
    <w:rsid w:val="00ED4574"/>
    <w:rPr>
      <w:rFonts w:ascii="Arial" w:hAnsi="Arial" w:cs="Arial"/>
      <w:sz w:val="20"/>
      <w:szCs w:val="20"/>
    </w:rPr>
  </w:style>
  <w:style w:type="paragraph" w:styleId="Pokraovnseznamu">
    <w:name w:val="List Continue"/>
    <w:basedOn w:val="Normln"/>
    <w:uiPriority w:val="99"/>
    <w:rsid w:val="00987167"/>
    <w:pPr>
      <w:spacing w:after="120"/>
      <w:ind w:left="283"/>
    </w:pPr>
  </w:style>
  <w:style w:type="paragraph" w:styleId="Pokraovnseznamu2">
    <w:name w:val="List Continue 2"/>
    <w:basedOn w:val="Normln"/>
    <w:uiPriority w:val="99"/>
    <w:rsid w:val="00987167"/>
    <w:pPr>
      <w:spacing w:after="120"/>
      <w:ind w:left="566"/>
    </w:pPr>
  </w:style>
  <w:style w:type="paragraph" w:styleId="Pokraovnseznamu3">
    <w:name w:val="List Continue 3"/>
    <w:basedOn w:val="Normln"/>
    <w:uiPriority w:val="99"/>
    <w:rsid w:val="00987167"/>
    <w:pPr>
      <w:spacing w:after="120"/>
      <w:ind w:left="849"/>
    </w:pPr>
  </w:style>
  <w:style w:type="paragraph" w:styleId="Pokraovnseznamu4">
    <w:name w:val="List Continue 4"/>
    <w:basedOn w:val="Normln"/>
    <w:uiPriority w:val="99"/>
    <w:rsid w:val="00987167"/>
    <w:pPr>
      <w:spacing w:after="120"/>
      <w:ind w:left="1132"/>
    </w:pPr>
  </w:style>
  <w:style w:type="paragraph" w:styleId="Pokraovnseznamu5">
    <w:name w:val="List Continue 5"/>
    <w:basedOn w:val="Normln"/>
    <w:uiPriority w:val="99"/>
    <w:rsid w:val="00987167"/>
    <w:pPr>
      <w:spacing w:after="120"/>
      <w:ind w:left="1415"/>
    </w:pPr>
  </w:style>
  <w:style w:type="paragraph" w:styleId="Textkomente">
    <w:name w:val="annotation text"/>
    <w:basedOn w:val="Normln"/>
    <w:link w:val="TextkomenteChar"/>
    <w:uiPriority w:val="99"/>
    <w:semiHidden/>
    <w:rsid w:val="00987167"/>
  </w:style>
  <w:style w:type="character" w:customStyle="1" w:styleId="TextkomenteChar">
    <w:name w:val="Text komentáře Char"/>
    <w:basedOn w:val="Standardnpsmoodstavce"/>
    <w:link w:val="Textkomente"/>
    <w:uiPriority w:val="99"/>
    <w:semiHidden/>
    <w:locked/>
    <w:rsid w:val="00ED4574"/>
    <w:rPr>
      <w:rFonts w:ascii="Arial" w:hAnsi="Arial" w:cs="Arial"/>
      <w:sz w:val="20"/>
      <w:szCs w:val="20"/>
    </w:rPr>
  </w:style>
  <w:style w:type="paragraph" w:styleId="Pedmtkomente">
    <w:name w:val="annotation subject"/>
    <w:basedOn w:val="Textkomente"/>
    <w:next w:val="Textkomente"/>
    <w:link w:val="PedmtkomenteChar"/>
    <w:uiPriority w:val="99"/>
    <w:semiHidden/>
    <w:rsid w:val="00987167"/>
    <w:rPr>
      <w:b/>
      <w:bCs/>
    </w:rPr>
  </w:style>
  <w:style w:type="character" w:customStyle="1" w:styleId="PedmtkomenteChar">
    <w:name w:val="Předmět komentáře Char"/>
    <w:basedOn w:val="TextkomenteChar"/>
    <w:link w:val="Pedmtkomente"/>
    <w:uiPriority w:val="99"/>
    <w:semiHidden/>
    <w:locked/>
    <w:rsid w:val="00ED4574"/>
    <w:rPr>
      <w:rFonts w:ascii="Arial" w:hAnsi="Arial" w:cs="Arial"/>
      <w:b/>
      <w:bCs/>
      <w:sz w:val="20"/>
      <w:szCs w:val="20"/>
    </w:rPr>
  </w:style>
  <w:style w:type="paragraph" w:styleId="Rejstk2">
    <w:name w:val="index 2"/>
    <w:basedOn w:val="Normln"/>
    <w:next w:val="Normln"/>
    <w:autoRedefine/>
    <w:uiPriority w:val="99"/>
    <w:semiHidden/>
    <w:rsid w:val="00987167"/>
    <w:pPr>
      <w:ind w:left="480" w:hanging="240"/>
    </w:pPr>
  </w:style>
  <w:style w:type="paragraph" w:styleId="Rejstk3">
    <w:name w:val="index 3"/>
    <w:basedOn w:val="Normln"/>
    <w:next w:val="Normln"/>
    <w:autoRedefine/>
    <w:uiPriority w:val="99"/>
    <w:semiHidden/>
    <w:rsid w:val="00987167"/>
    <w:pPr>
      <w:ind w:left="720" w:hanging="240"/>
    </w:pPr>
  </w:style>
  <w:style w:type="paragraph" w:styleId="Rejstk4">
    <w:name w:val="index 4"/>
    <w:basedOn w:val="Normln"/>
    <w:next w:val="Normln"/>
    <w:autoRedefine/>
    <w:uiPriority w:val="99"/>
    <w:semiHidden/>
    <w:rsid w:val="00987167"/>
    <w:pPr>
      <w:ind w:left="960" w:hanging="240"/>
    </w:pPr>
  </w:style>
  <w:style w:type="paragraph" w:styleId="Rejstk5">
    <w:name w:val="index 5"/>
    <w:basedOn w:val="Normln"/>
    <w:next w:val="Normln"/>
    <w:autoRedefine/>
    <w:uiPriority w:val="99"/>
    <w:semiHidden/>
    <w:rsid w:val="00987167"/>
    <w:pPr>
      <w:ind w:left="1200" w:hanging="240"/>
    </w:pPr>
  </w:style>
  <w:style w:type="paragraph" w:styleId="Rejstk6">
    <w:name w:val="index 6"/>
    <w:basedOn w:val="Normln"/>
    <w:next w:val="Normln"/>
    <w:autoRedefine/>
    <w:uiPriority w:val="99"/>
    <w:semiHidden/>
    <w:rsid w:val="00987167"/>
    <w:pPr>
      <w:ind w:left="1440" w:hanging="240"/>
    </w:pPr>
  </w:style>
  <w:style w:type="paragraph" w:styleId="Rejstk7">
    <w:name w:val="index 7"/>
    <w:basedOn w:val="Normln"/>
    <w:next w:val="Normln"/>
    <w:autoRedefine/>
    <w:uiPriority w:val="99"/>
    <w:semiHidden/>
    <w:rsid w:val="00987167"/>
    <w:pPr>
      <w:ind w:left="1680" w:hanging="240"/>
    </w:pPr>
  </w:style>
  <w:style w:type="paragraph" w:styleId="Rejstk8">
    <w:name w:val="index 8"/>
    <w:basedOn w:val="Normln"/>
    <w:next w:val="Normln"/>
    <w:autoRedefine/>
    <w:uiPriority w:val="99"/>
    <w:semiHidden/>
    <w:rsid w:val="00987167"/>
    <w:pPr>
      <w:ind w:left="1920" w:hanging="240"/>
    </w:pPr>
  </w:style>
  <w:style w:type="paragraph" w:styleId="Rejstk9">
    <w:name w:val="index 9"/>
    <w:basedOn w:val="Normln"/>
    <w:next w:val="Normln"/>
    <w:autoRedefine/>
    <w:uiPriority w:val="99"/>
    <w:semiHidden/>
    <w:rsid w:val="00987167"/>
    <w:pPr>
      <w:ind w:left="2160" w:hanging="240"/>
    </w:pPr>
  </w:style>
  <w:style w:type="paragraph" w:styleId="Seznam">
    <w:name w:val="List"/>
    <w:basedOn w:val="Normln"/>
    <w:uiPriority w:val="99"/>
    <w:rsid w:val="00987167"/>
    <w:pPr>
      <w:ind w:left="283" w:hanging="283"/>
    </w:pPr>
  </w:style>
  <w:style w:type="paragraph" w:styleId="Seznam2">
    <w:name w:val="List 2"/>
    <w:basedOn w:val="Normln"/>
    <w:uiPriority w:val="99"/>
    <w:rsid w:val="00987167"/>
    <w:pPr>
      <w:ind w:left="566" w:hanging="283"/>
    </w:pPr>
  </w:style>
  <w:style w:type="paragraph" w:styleId="Seznam3">
    <w:name w:val="List 3"/>
    <w:basedOn w:val="Normln"/>
    <w:uiPriority w:val="99"/>
    <w:rsid w:val="00987167"/>
    <w:pPr>
      <w:ind w:left="849" w:hanging="283"/>
    </w:pPr>
  </w:style>
  <w:style w:type="paragraph" w:styleId="Seznam4">
    <w:name w:val="List 4"/>
    <w:basedOn w:val="Normln"/>
    <w:uiPriority w:val="99"/>
    <w:rsid w:val="00987167"/>
    <w:pPr>
      <w:ind w:left="1132" w:hanging="283"/>
    </w:pPr>
  </w:style>
  <w:style w:type="paragraph" w:styleId="Seznam5">
    <w:name w:val="List 5"/>
    <w:basedOn w:val="Normln"/>
    <w:uiPriority w:val="99"/>
    <w:rsid w:val="00987167"/>
    <w:pPr>
      <w:ind w:left="1415" w:hanging="283"/>
    </w:pPr>
  </w:style>
  <w:style w:type="paragraph" w:styleId="Seznamcitac">
    <w:name w:val="table of authorities"/>
    <w:basedOn w:val="Normln"/>
    <w:next w:val="Normln"/>
    <w:uiPriority w:val="99"/>
    <w:semiHidden/>
    <w:rsid w:val="00987167"/>
    <w:pPr>
      <w:ind w:left="240" w:hanging="240"/>
    </w:pPr>
  </w:style>
  <w:style w:type="paragraph" w:styleId="Seznamobrzk">
    <w:name w:val="table of figures"/>
    <w:basedOn w:val="Normln"/>
    <w:next w:val="Normln"/>
    <w:uiPriority w:val="99"/>
    <w:semiHidden/>
    <w:rsid w:val="00987167"/>
  </w:style>
  <w:style w:type="paragraph" w:styleId="Seznamsodrkami">
    <w:name w:val="List Bullet"/>
    <w:basedOn w:val="Normln"/>
    <w:uiPriority w:val="99"/>
    <w:rsid w:val="00987167"/>
    <w:pPr>
      <w:numPr>
        <w:numId w:val="1"/>
      </w:numPr>
    </w:pPr>
  </w:style>
  <w:style w:type="paragraph" w:styleId="Seznamsodrkami2">
    <w:name w:val="List Bullet 2"/>
    <w:basedOn w:val="Normln"/>
    <w:uiPriority w:val="99"/>
    <w:rsid w:val="00987167"/>
    <w:pPr>
      <w:numPr>
        <w:numId w:val="2"/>
      </w:numPr>
    </w:pPr>
  </w:style>
  <w:style w:type="paragraph" w:styleId="Seznamsodrkami3">
    <w:name w:val="List Bullet 3"/>
    <w:basedOn w:val="Normln"/>
    <w:uiPriority w:val="99"/>
    <w:rsid w:val="00987167"/>
    <w:pPr>
      <w:numPr>
        <w:numId w:val="3"/>
      </w:numPr>
    </w:pPr>
  </w:style>
  <w:style w:type="paragraph" w:styleId="Seznamsodrkami4">
    <w:name w:val="List Bullet 4"/>
    <w:basedOn w:val="Normln"/>
    <w:uiPriority w:val="99"/>
    <w:rsid w:val="00987167"/>
    <w:pPr>
      <w:numPr>
        <w:numId w:val="4"/>
      </w:numPr>
    </w:pPr>
  </w:style>
  <w:style w:type="paragraph" w:styleId="Seznamsodrkami5">
    <w:name w:val="List Bullet 5"/>
    <w:basedOn w:val="Normln"/>
    <w:uiPriority w:val="99"/>
    <w:rsid w:val="00987167"/>
    <w:pPr>
      <w:numPr>
        <w:numId w:val="5"/>
      </w:numPr>
    </w:pPr>
  </w:style>
  <w:style w:type="paragraph" w:styleId="Textmakra">
    <w:name w:val="macro"/>
    <w:link w:val="TextmakraChar"/>
    <w:uiPriority w:val="99"/>
    <w:semiHidden/>
    <w:rsid w:val="0098716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makraChar">
    <w:name w:val="Text makra Char"/>
    <w:basedOn w:val="Standardnpsmoodstavce"/>
    <w:link w:val="Textmakra"/>
    <w:uiPriority w:val="99"/>
    <w:semiHidden/>
    <w:locked/>
    <w:rsid w:val="00ED4574"/>
    <w:rPr>
      <w:rFonts w:ascii="Courier New" w:hAnsi="Courier New" w:cs="Courier New"/>
      <w:lang w:val="cs-CZ" w:eastAsia="cs-CZ" w:bidi="ar-SA"/>
    </w:rPr>
  </w:style>
  <w:style w:type="paragraph" w:styleId="Textpoznpodarou">
    <w:name w:val="footnote text"/>
    <w:basedOn w:val="Normln"/>
    <w:link w:val="TextpoznpodarouChar"/>
    <w:uiPriority w:val="99"/>
    <w:semiHidden/>
    <w:rsid w:val="00987167"/>
  </w:style>
  <w:style w:type="character" w:customStyle="1" w:styleId="TextpoznpodarouChar">
    <w:name w:val="Text pozn. pod čarou Char"/>
    <w:basedOn w:val="Standardnpsmoodstavce"/>
    <w:link w:val="Textpoznpodarou"/>
    <w:uiPriority w:val="99"/>
    <w:semiHidden/>
    <w:locked/>
    <w:rsid w:val="00ED4574"/>
    <w:rPr>
      <w:rFonts w:ascii="Arial" w:hAnsi="Arial" w:cs="Arial"/>
      <w:sz w:val="20"/>
      <w:szCs w:val="20"/>
    </w:rPr>
  </w:style>
  <w:style w:type="paragraph" w:styleId="Textvbloku">
    <w:name w:val="Block Text"/>
    <w:basedOn w:val="Normln"/>
    <w:uiPriority w:val="99"/>
    <w:rsid w:val="00987167"/>
    <w:pPr>
      <w:spacing w:after="120"/>
      <w:ind w:left="1440" w:right="1440"/>
    </w:pPr>
  </w:style>
  <w:style w:type="paragraph" w:styleId="Textvysvtlivek">
    <w:name w:val="endnote text"/>
    <w:basedOn w:val="Normln"/>
    <w:link w:val="TextvysvtlivekChar"/>
    <w:uiPriority w:val="99"/>
    <w:semiHidden/>
    <w:rsid w:val="00987167"/>
  </w:style>
  <w:style w:type="character" w:customStyle="1" w:styleId="TextvysvtlivekChar">
    <w:name w:val="Text vysvětlivek Char"/>
    <w:basedOn w:val="Standardnpsmoodstavce"/>
    <w:link w:val="Textvysvtlivek"/>
    <w:uiPriority w:val="99"/>
    <w:semiHidden/>
    <w:locked/>
    <w:rsid w:val="00ED4574"/>
    <w:rPr>
      <w:rFonts w:ascii="Arial" w:hAnsi="Arial" w:cs="Arial"/>
      <w:sz w:val="20"/>
      <w:szCs w:val="20"/>
    </w:rPr>
  </w:style>
  <w:style w:type="paragraph" w:styleId="Titulek">
    <w:name w:val="caption"/>
    <w:basedOn w:val="Normln"/>
    <w:next w:val="Normln"/>
    <w:uiPriority w:val="99"/>
    <w:qFormat/>
    <w:rsid w:val="00987167"/>
    <w:rPr>
      <w:b/>
      <w:bCs/>
    </w:rPr>
  </w:style>
  <w:style w:type="paragraph" w:styleId="Zvr">
    <w:name w:val="Closing"/>
    <w:basedOn w:val="Normln"/>
    <w:link w:val="ZvrChar"/>
    <w:uiPriority w:val="99"/>
    <w:rsid w:val="00987167"/>
    <w:pPr>
      <w:ind w:left="4252"/>
    </w:pPr>
  </w:style>
  <w:style w:type="character" w:customStyle="1" w:styleId="ZvrChar">
    <w:name w:val="Závěr Char"/>
    <w:basedOn w:val="Standardnpsmoodstavce"/>
    <w:link w:val="Zvr"/>
    <w:uiPriority w:val="99"/>
    <w:semiHidden/>
    <w:locked/>
    <w:rsid w:val="00ED4574"/>
    <w:rPr>
      <w:rFonts w:ascii="Arial" w:hAnsi="Arial" w:cs="Arial"/>
      <w:sz w:val="20"/>
      <w:szCs w:val="20"/>
    </w:rPr>
  </w:style>
  <w:style w:type="paragraph" w:styleId="Zptenadresanaoblku">
    <w:name w:val="envelope return"/>
    <w:basedOn w:val="Normln"/>
    <w:uiPriority w:val="99"/>
    <w:rsid w:val="00987167"/>
  </w:style>
  <w:style w:type="paragraph" w:customStyle="1" w:styleId="Koment">
    <w:name w:val="Komentář"/>
    <w:basedOn w:val="Normln"/>
    <w:uiPriority w:val="99"/>
    <w:rsid w:val="00987167"/>
    <w:pPr>
      <w:spacing w:before="120"/>
      <w:jc w:val="both"/>
    </w:pPr>
    <w:rPr>
      <w:rFonts w:cs="Arial Narrow"/>
      <w:i/>
      <w:iCs/>
      <w:color w:val="FF0000"/>
    </w:rPr>
  </w:style>
  <w:style w:type="character" w:styleId="Odkaznakoment">
    <w:name w:val="annotation reference"/>
    <w:basedOn w:val="Standardnpsmoodstavce"/>
    <w:uiPriority w:val="99"/>
    <w:semiHidden/>
    <w:rsid w:val="00987167"/>
    <w:rPr>
      <w:rFonts w:cs="Times New Roman"/>
      <w:sz w:val="16"/>
      <w:szCs w:val="16"/>
    </w:rPr>
  </w:style>
  <w:style w:type="paragraph" w:customStyle="1" w:styleId="NadpisPodkapitoly2">
    <w:name w:val="NadpisPodkapitoly2"/>
    <w:basedOn w:val="Normln"/>
    <w:next w:val="Normln"/>
    <w:uiPriority w:val="99"/>
    <w:rsid w:val="000C4B02"/>
    <w:pPr>
      <w:keepNext/>
      <w:spacing w:before="360" w:after="60"/>
    </w:pPr>
    <w:rPr>
      <w:u w:val="single"/>
    </w:rPr>
  </w:style>
  <w:style w:type="character" w:styleId="Sledovanodkaz">
    <w:name w:val="FollowedHyperlink"/>
    <w:basedOn w:val="Standardnpsmoodstavce"/>
    <w:uiPriority w:val="99"/>
    <w:rsid w:val="00987167"/>
    <w:rPr>
      <w:rFonts w:cs="Times New Roman"/>
      <w:color w:val="800080"/>
      <w:u w:val="single"/>
    </w:rPr>
  </w:style>
  <w:style w:type="table" w:styleId="Mkatabulky">
    <w:name w:val="Table Grid"/>
    <w:basedOn w:val="Normlntabulka"/>
    <w:uiPriority w:val="99"/>
    <w:rsid w:val="00353EDD"/>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pisektabulky">
    <w:name w:val="Popisek tabulky"/>
    <w:basedOn w:val="Normln"/>
    <w:uiPriority w:val="99"/>
    <w:rsid w:val="0006587E"/>
    <w:rPr>
      <w:i/>
      <w:iCs/>
      <w:sz w:val="14"/>
      <w:szCs w:val="14"/>
    </w:rPr>
  </w:style>
  <w:style w:type="paragraph" w:customStyle="1" w:styleId="dajtabulky">
    <w:name w:val="Údaj tabulky"/>
    <w:basedOn w:val="Normln"/>
    <w:uiPriority w:val="99"/>
    <w:rsid w:val="0006587E"/>
    <w:rPr>
      <w:sz w:val="18"/>
      <w:szCs w:val="18"/>
    </w:rPr>
  </w:style>
  <w:style w:type="paragraph" w:customStyle="1" w:styleId="Firma">
    <w:name w:val="Firma"/>
    <w:basedOn w:val="dajtabulky"/>
    <w:uiPriority w:val="99"/>
    <w:rsid w:val="0046155E"/>
  </w:style>
  <w:style w:type="paragraph" w:customStyle="1" w:styleId="Souprava">
    <w:name w:val="Souprava"/>
    <w:uiPriority w:val="99"/>
    <w:rsid w:val="009C7991"/>
    <w:pPr>
      <w:jc w:val="center"/>
    </w:pPr>
    <w:rPr>
      <w:rFonts w:ascii="Arial" w:hAnsi="Arial" w:cs="Arial"/>
      <w:b/>
      <w:bCs/>
      <w:color w:val="99CCFF"/>
      <w:sz w:val="144"/>
      <w:szCs w:val="144"/>
    </w:rPr>
  </w:style>
  <w:style w:type="paragraph" w:customStyle="1" w:styleId="Aqpodrka1">
    <w:name w:val="Aqp_odrážka1"/>
    <w:basedOn w:val="Normln"/>
    <w:uiPriority w:val="99"/>
    <w:rsid w:val="006B0D94"/>
    <w:pPr>
      <w:numPr>
        <w:numId w:val="6"/>
      </w:numPr>
    </w:pPr>
  </w:style>
  <w:style w:type="paragraph" w:customStyle="1" w:styleId="Projekt">
    <w:name w:val="Projekt"/>
    <w:basedOn w:val="dajtabulky"/>
    <w:uiPriority w:val="99"/>
    <w:rsid w:val="00873F1F"/>
    <w:rPr>
      <w:sz w:val="28"/>
      <w:szCs w:val="28"/>
    </w:rPr>
  </w:style>
  <w:style w:type="paragraph" w:customStyle="1" w:styleId="dajtabulky10">
    <w:name w:val="Údaj tabulky 10"/>
    <w:basedOn w:val="dajtabulky"/>
    <w:uiPriority w:val="99"/>
    <w:rsid w:val="00F64454"/>
    <w:rPr>
      <w:sz w:val="20"/>
      <w:szCs w:val="20"/>
    </w:rPr>
  </w:style>
  <w:style w:type="paragraph" w:customStyle="1" w:styleId="dajtabulky12">
    <w:name w:val="Údaj tabulky 12"/>
    <w:basedOn w:val="dajtabulky"/>
    <w:uiPriority w:val="99"/>
    <w:rsid w:val="00F64454"/>
    <w:rPr>
      <w:sz w:val="24"/>
      <w:szCs w:val="24"/>
    </w:rPr>
  </w:style>
  <w:style w:type="paragraph" w:customStyle="1" w:styleId="dajtabulky14">
    <w:name w:val="Údaj tabulky 14"/>
    <w:basedOn w:val="dajtabulky"/>
    <w:uiPriority w:val="99"/>
    <w:rsid w:val="00F64454"/>
    <w:pPr>
      <w:jc w:val="center"/>
    </w:pPr>
    <w:rPr>
      <w:sz w:val="28"/>
      <w:szCs w:val="28"/>
    </w:rPr>
  </w:style>
  <w:style w:type="character" w:customStyle="1" w:styleId="AqpTuPodtr">
    <w:name w:val="AqpTučPodtr"/>
    <w:basedOn w:val="Standardnpsmoodstavce"/>
    <w:uiPriority w:val="99"/>
    <w:rsid w:val="003B113F"/>
    <w:rPr>
      <w:rFonts w:cs="Times New Roman"/>
      <w:b/>
      <w:bCs/>
      <w:u w:val="single"/>
    </w:rPr>
  </w:style>
  <w:style w:type="character" w:customStyle="1" w:styleId="AqpPodtr">
    <w:name w:val="AqpPodtr"/>
    <w:basedOn w:val="Standardnpsmoodstavce"/>
    <w:uiPriority w:val="99"/>
    <w:rsid w:val="003B113F"/>
    <w:rPr>
      <w:rFonts w:cs="Times New Roman"/>
      <w:u w:val="single"/>
    </w:rPr>
  </w:style>
  <w:style w:type="paragraph" w:customStyle="1" w:styleId="Aqpslovn">
    <w:name w:val="Aqp_číslování"/>
    <w:basedOn w:val="Aqpodrka1"/>
    <w:uiPriority w:val="99"/>
    <w:rsid w:val="00B6302C"/>
    <w:pPr>
      <w:numPr>
        <w:numId w:val="7"/>
      </w:numPr>
      <w:tabs>
        <w:tab w:val="num" w:pos="284"/>
        <w:tab w:val="num" w:pos="432"/>
        <w:tab w:val="num" w:pos="643"/>
        <w:tab w:val="num" w:pos="926"/>
        <w:tab w:val="num" w:pos="1492"/>
      </w:tabs>
      <w:ind w:left="432" w:hanging="432"/>
    </w:pPr>
  </w:style>
  <w:style w:type="character" w:customStyle="1" w:styleId="Styl1">
    <w:name w:val="Styl1"/>
    <w:basedOn w:val="Standardnpsmoodstavce"/>
    <w:uiPriority w:val="99"/>
    <w:rsid w:val="003B113F"/>
    <w:rPr>
      <w:rFonts w:cs="Times New Roman"/>
      <w:i/>
      <w:iCs/>
    </w:rPr>
  </w:style>
  <w:style w:type="character" w:customStyle="1" w:styleId="AqpTu">
    <w:name w:val="AqpTuč"/>
    <w:basedOn w:val="Standardnpsmoodstavce"/>
    <w:uiPriority w:val="99"/>
    <w:rsid w:val="003B113F"/>
    <w:rPr>
      <w:rFonts w:cs="Times New Roman"/>
      <w:b/>
      <w:bCs/>
    </w:rPr>
  </w:style>
  <w:style w:type="numbering" w:customStyle="1" w:styleId="StylVcerovov14bTunVlastnbarvaRGB0">
    <w:name w:val="Styl Víceúrovňové 14 b. Tučné Vlastní barva(RGB(0"/>
    <w:aliases w:val="102,153))"/>
    <w:rsid w:val="007140FB"/>
    <w:pPr>
      <w:numPr>
        <w:numId w:val="8"/>
      </w:numPr>
    </w:pPr>
  </w:style>
  <w:style w:type="paragraph" w:styleId="Odstavecseseznamem">
    <w:name w:val="List Paragraph"/>
    <w:basedOn w:val="Normln"/>
    <w:uiPriority w:val="34"/>
    <w:qFormat/>
    <w:rsid w:val="0030632D"/>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415563">
      <w:bodyDiv w:val="1"/>
      <w:marLeft w:val="0"/>
      <w:marRight w:val="0"/>
      <w:marTop w:val="0"/>
      <w:marBottom w:val="0"/>
      <w:divBdr>
        <w:top w:val="none" w:sz="0" w:space="0" w:color="auto"/>
        <w:left w:val="none" w:sz="0" w:space="0" w:color="auto"/>
        <w:bottom w:val="none" w:sz="0" w:space="0" w:color="auto"/>
        <w:right w:val="none" w:sz="0" w:space="0" w:color="auto"/>
      </w:divBdr>
    </w:div>
    <w:div w:id="144322864">
      <w:bodyDiv w:val="1"/>
      <w:marLeft w:val="0"/>
      <w:marRight w:val="0"/>
      <w:marTop w:val="0"/>
      <w:marBottom w:val="0"/>
      <w:divBdr>
        <w:top w:val="none" w:sz="0" w:space="0" w:color="auto"/>
        <w:left w:val="none" w:sz="0" w:space="0" w:color="auto"/>
        <w:bottom w:val="none" w:sz="0" w:space="0" w:color="auto"/>
        <w:right w:val="none" w:sz="0" w:space="0" w:color="auto"/>
      </w:divBdr>
    </w:div>
    <w:div w:id="211354059">
      <w:bodyDiv w:val="1"/>
      <w:marLeft w:val="0"/>
      <w:marRight w:val="0"/>
      <w:marTop w:val="0"/>
      <w:marBottom w:val="0"/>
      <w:divBdr>
        <w:top w:val="none" w:sz="0" w:space="0" w:color="auto"/>
        <w:left w:val="none" w:sz="0" w:space="0" w:color="auto"/>
        <w:bottom w:val="none" w:sz="0" w:space="0" w:color="auto"/>
        <w:right w:val="none" w:sz="0" w:space="0" w:color="auto"/>
      </w:divBdr>
    </w:div>
    <w:div w:id="216278478">
      <w:bodyDiv w:val="1"/>
      <w:marLeft w:val="0"/>
      <w:marRight w:val="0"/>
      <w:marTop w:val="0"/>
      <w:marBottom w:val="0"/>
      <w:divBdr>
        <w:top w:val="none" w:sz="0" w:space="0" w:color="auto"/>
        <w:left w:val="none" w:sz="0" w:space="0" w:color="auto"/>
        <w:bottom w:val="none" w:sz="0" w:space="0" w:color="auto"/>
        <w:right w:val="none" w:sz="0" w:space="0" w:color="auto"/>
      </w:divBdr>
    </w:div>
    <w:div w:id="333461788">
      <w:bodyDiv w:val="1"/>
      <w:marLeft w:val="0"/>
      <w:marRight w:val="0"/>
      <w:marTop w:val="0"/>
      <w:marBottom w:val="0"/>
      <w:divBdr>
        <w:top w:val="none" w:sz="0" w:space="0" w:color="auto"/>
        <w:left w:val="none" w:sz="0" w:space="0" w:color="auto"/>
        <w:bottom w:val="none" w:sz="0" w:space="0" w:color="auto"/>
        <w:right w:val="none" w:sz="0" w:space="0" w:color="auto"/>
      </w:divBdr>
    </w:div>
    <w:div w:id="395323966">
      <w:bodyDiv w:val="1"/>
      <w:marLeft w:val="0"/>
      <w:marRight w:val="0"/>
      <w:marTop w:val="0"/>
      <w:marBottom w:val="0"/>
      <w:divBdr>
        <w:top w:val="none" w:sz="0" w:space="0" w:color="auto"/>
        <w:left w:val="none" w:sz="0" w:space="0" w:color="auto"/>
        <w:bottom w:val="none" w:sz="0" w:space="0" w:color="auto"/>
        <w:right w:val="none" w:sz="0" w:space="0" w:color="auto"/>
      </w:divBdr>
    </w:div>
    <w:div w:id="409038285">
      <w:bodyDiv w:val="1"/>
      <w:marLeft w:val="0"/>
      <w:marRight w:val="0"/>
      <w:marTop w:val="0"/>
      <w:marBottom w:val="0"/>
      <w:divBdr>
        <w:top w:val="none" w:sz="0" w:space="0" w:color="auto"/>
        <w:left w:val="none" w:sz="0" w:space="0" w:color="auto"/>
        <w:bottom w:val="none" w:sz="0" w:space="0" w:color="auto"/>
        <w:right w:val="none" w:sz="0" w:space="0" w:color="auto"/>
      </w:divBdr>
    </w:div>
    <w:div w:id="648872386">
      <w:bodyDiv w:val="1"/>
      <w:marLeft w:val="0"/>
      <w:marRight w:val="0"/>
      <w:marTop w:val="0"/>
      <w:marBottom w:val="0"/>
      <w:divBdr>
        <w:top w:val="none" w:sz="0" w:space="0" w:color="auto"/>
        <w:left w:val="none" w:sz="0" w:space="0" w:color="auto"/>
        <w:bottom w:val="none" w:sz="0" w:space="0" w:color="auto"/>
        <w:right w:val="none" w:sz="0" w:space="0" w:color="auto"/>
      </w:divBdr>
    </w:div>
    <w:div w:id="678850720">
      <w:bodyDiv w:val="1"/>
      <w:marLeft w:val="0"/>
      <w:marRight w:val="0"/>
      <w:marTop w:val="0"/>
      <w:marBottom w:val="0"/>
      <w:divBdr>
        <w:top w:val="none" w:sz="0" w:space="0" w:color="auto"/>
        <w:left w:val="none" w:sz="0" w:space="0" w:color="auto"/>
        <w:bottom w:val="none" w:sz="0" w:space="0" w:color="auto"/>
        <w:right w:val="none" w:sz="0" w:space="0" w:color="auto"/>
      </w:divBdr>
    </w:div>
    <w:div w:id="714739934">
      <w:bodyDiv w:val="1"/>
      <w:marLeft w:val="0"/>
      <w:marRight w:val="0"/>
      <w:marTop w:val="0"/>
      <w:marBottom w:val="0"/>
      <w:divBdr>
        <w:top w:val="none" w:sz="0" w:space="0" w:color="auto"/>
        <w:left w:val="none" w:sz="0" w:space="0" w:color="auto"/>
        <w:bottom w:val="none" w:sz="0" w:space="0" w:color="auto"/>
        <w:right w:val="none" w:sz="0" w:space="0" w:color="auto"/>
      </w:divBdr>
    </w:div>
    <w:div w:id="830412741">
      <w:bodyDiv w:val="1"/>
      <w:marLeft w:val="0"/>
      <w:marRight w:val="0"/>
      <w:marTop w:val="0"/>
      <w:marBottom w:val="0"/>
      <w:divBdr>
        <w:top w:val="none" w:sz="0" w:space="0" w:color="auto"/>
        <w:left w:val="none" w:sz="0" w:space="0" w:color="auto"/>
        <w:bottom w:val="none" w:sz="0" w:space="0" w:color="auto"/>
        <w:right w:val="none" w:sz="0" w:space="0" w:color="auto"/>
      </w:divBdr>
    </w:div>
    <w:div w:id="1015499932">
      <w:bodyDiv w:val="1"/>
      <w:marLeft w:val="0"/>
      <w:marRight w:val="0"/>
      <w:marTop w:val="0"/>
      <w:marBottom w:val="0"/>
      <w:divBdr>
        <w:top w:val="none" w:sz="0" w:space="0" w:color="auto"/>
        <w:left w:val="none" w:sz="0" w:space="0" w:color="auto"/>
        <w:bottom w:val="none" w:sz="0" w:space="0" w:color="auto"/>
        <w:right w:val="none" w:sz="0" w:space="0" w:color="auto"/>
      </w:divBdr>
    </w:div>
    <w:div w:id="1067915643">
      <w:bodyDiv w:val="1"/>
      <w:marLeft w:val="0"/>
      <w:marRight w:val="0"/>
      <w:marTop w:val="0"/>
      <w:marBottom w:val="0"/>
      <w:divBdr>
        <w:top w:val="none" w:sz="0" w:space="0" w:color="auto"/>
        <w:left w:val="none" w:sz="0" w:space="0" w:color="auto"/>
        <w:bottom w:val="none" w:sz="0" w:space="0" w:color="auto"/>
        <w:right w:val="none" w:sz="0" w:space="0" w:color="auto"/>
      </w:divBdr>
    </w:div>
    <w:div w:id="1243219228">
      <w:bodyDiv w:val="1"/>
      <w:marLeft w:val="0"/>
      <w:marRight w:val="0"/>
      <w:marTop w:val="0"/>
      <w:marBottom w:val="0"/>
      <w:divBdr>
        <w:top w:val="none" w:sz="0" w:space="0" w:color="auto"/>
        <w:left w:val="none" w:sz="0" w:space="0" w:color="auto"/>
        <w:bottom w:val="none" w:sz="0" w:space="0" w:color="auto"/>
        <w:right w:val="none" w:sz="0" w:space="0" w:color="auto"/>
      </w:divBdr>
    </w:div>
    <w:div w:id="1514877730">
      <w:marLeft w:val="0"/>
      <w:marRight w:val="0"/>
      <w:marTop w:val="0"/>
      <w:marBottom w:val="0"/>
      <w:divBdr>
        <w:top w:val="none" w:sz="0" w:space="0" w:color="auto"/>
        <w:left w:val="none" w:sz="0" w:space="0" w:color="auto"/>
        <w:bottom w:val="none" w:sz="0" w:space="0" w:color="auto"/>
        <w:right w:val="none" w:sz="0" w:space="0" w:color="auto"/>
      </w:divBdr>
    </w:div>
    <w:div w:id="1514877731">
      <w:marLeft w:val="0"/>
      <w:marRight w:val="0"/>
      <w:marTop w:val="0"/>
      <w:marBottom w:val="0"/>
      <w:divBdr>
        <w:top w:val="none" w:sz="0" w:space="0" w:color="auto"/>
        <w:left w:val="none" w:sz="0" w:space="0" w:color="auto"/>
        <w:bottom w:val="none" w:sz="0" w:space="0" w:color="auto"/>
        <w:right w:val="none" w:sz="0" w:space="0" w:color="auto"/>
      </w:divBdr>
    </w:div>
    <w:div w:id="1514877732">
      <w:marLeft w:val="0"/>
      <w:marRight w:val="0"/>
      <w:marTop w:val="0"/>
      <w:marBottom w:val="0"/>
      <w:divBdr>
        <w:top w:val="none" w:sz="0" w:space="0" w:color="auto"/>
        <w:left w:val="none" w:sz="0" w:space="0" w:color="auto"/>
        <w:bottom w:val="none" w:sz="0" w:space="0" w:color="auto"/>
        <w:right w:val="none" w:sz="0" w:space="0" w:color="auto"/>
      </w:divBdr>
    </w:div>
    <w:div w:id="1626932252">
      <w:bodyDiv w:val="1"/>
      <w:marLeft w:val="0"/>
      <w:marRight w:val="0"/>
      <w:marTop w:val="0"/>
      <w:marBottom w:val="0"/>
      <w:divBdr>
        <w:top w:val="none" w:sz="0" w:space="0" w:color="auto"/>
        <w:left w:val="none" w:sz="0" w:space="0" w:color="auto"/>
        <w:bottom w:val="none" w:sz="0" w:space="0" w:color="auto"/>
        <w:right w:val="none" w:sz="0" w:space="0" w:color="auto"/>
      </w:divBdr>
    </w:div>
    <w:div w:id="1746222847">
      <w:bodyDiv w:val="1"/>
      <w:marLeft w:val="0"/>
      <w:marRight w:val="0"/>
      <w:marTop w:val="0"/>
      <w:marBottom w:val="0"/>
      <w:divBdr>
        <w:top w:val="none" w:sz="0" w:space="0" w:color="auto"/>
        <w:left w:val="none" w:sz="0" w:space="0" w:color="auto"/>
        <w:bottom w:val="none" w:sz="0" w:space="0" w:color="auto"/>
        <w:right w:val="none" w:sz="0" w:space="0" w:color="auto"/>
      </w:divBdr>
    </w:div>
    <w:div w:id="1786996802">
      <w:bodyDiv w:val="1"/>
      <w:marLeft w:val="0"/>
      <w:marRight w:val="0"/>
      <w:marTop w:val="0"/>
      <w:marBottom w:val="0"/>
      <w:divBdr>
        <w:top w:val="none" w:sz="0" w:space="0" w:color="auto"/>
        <w:left w:val="none" w:sz="0" w:space="0" w:color="auto"/>
        <w:bottom w:val="none" w:sz="0" w:space="0" w:color="auto"/>
        <w:right w:val="none" w:sz="0" w:space="0" w:color="auto"/>
      </w:divBdr>
    </w:div>
    <w:div w:id="1965691720">
      <w:bodyDiv w:val="1"/>
      <w:marLeft w:val="0"/>
      <w:marRight w:val="0"/>
      <w:marTop w:val="0"/>
      <w:marBottom w:val="0"/>
      <w:divBdr>
        <w:top w:val="none" w:sz="0" w:space="0" w:color="auto"/>
        <w:left w:val="none" w:sz="0" w:space="0" w:color="auto"/>
        <w:bottom w:val="none" w:sz="0" w:space="0" w:color="auto"/>
        <w:right w:val="none" w:sz="0" w:space="0" w:color="auto"/>
      </w:divBdr>
    </w:div>
    <w:div w:id="1977877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129AF-4A9D-4D90-B943-20E7AFD48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1479</TotalTime>
  <Pages>16</Pages>
  <Words>5026</Words>
  <Characters>29658</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Technická zpráva</vt:lpstr>
    </vt:vector>
  </TitlesOfParts>
  <Company>AQUA PROCON s.r.o.</Company>
  <LinksUpToDate>false</LinksUpToDate>
  <CharactersWithSpaces>34615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creator>Sousedík Milan</dc:creator>
  <cp:lastModifiedBy>Vlach Štěpán</cp:lastModifiedBy>
  <cp:revision>184</cp:revision>
  <cp:lastPrinted>2020-10-16T08:23:00Z</cp:lastPrinted>
  <dcterms:created xsi:type="dcterms:W3CDTF">2015-06-30T09:25:00Z</dcterms:created>
  <dcterms:modified xsi:type="dcterms:W3CDTF">2020-11-03T07:58:00Z</dcterms:modified>
</cp:coreProperties>
</file>